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E88B" w14:textId="372C53A8" w:rsidR="00D83A6D" w:rsidRPr="004F0A0F" w:rsidRDefault="00284264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BC2110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VERIFICACIÓN</w:t>
      </w:r>
      <w:r w:rsidR="003E04F0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</w:t>
      </w:r>
      <w:r w:rsidR="002D0DC7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L</w:t>
      </w:r>
      <w:r w:rsidR="00912D8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CUMPLIMIENTO DEL</w:t>
      </w:r>
      <w:r w:rsidR="002D0DC7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PROGRAMA DE</w:t>
      </w:r>
      <w:r w:rsidR="006559BC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AE0987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DESMANTELAMIENTO</w:t>
      </w:r>
    </w:p>
    <w:p w14:paraId="52F1D159" w14:textId="58BBE546" w:rsidR="00664CB2" w:rsidRDefault="00284264" w:rsidP="00664CB2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>De conformidad con lo señalado en</w:t>
      </w:r>
      <w:r w:rsidR="00915EB6"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670162" w:rsidRPr="004F0A0F">
        <w:rPr>
          <w:rFonts w:ascii="Soberana Sans Light" w:hAnsi="Soberana Sans Light" w:cs="Arial"/>
          <w:color w:val="2F2F2F"/>
          <w:szCs w:val="18"/>
          <w:lang w:eastAsia="es-MX"/>
        </w:rPr>
        <w:t>l</w:t>
      </w:r>
      <w:r w:rsidR="00915EB6"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as </w:t>
      </w:r>
      <w:r w:rsidR="00C14591" w:rsidRPr="00B33512">
        <w:rPr>
          <w:rFonts w:ascii="Soberana Sans Light" w:hAnsi="Soberana Sans Light" w:cs="Arial"/>
          <w:i/>
          <w:color w:val="2F2F2F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="00C14591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D83A6D"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en términos </w:t>
      </w:r>
      <w:r w:rsidR="000451D2"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de las </w:t>
      </w:r>
      <w:r w:rsidR="00352494" w:rsidRPr="00284264">
        <w:rPr>
          <w:rFonts w:ascii="Soberana Sans Light" w:hAnsi="Soberana Sans Light" w:cs="Arial"/>
          <w:color w:val="2F2F2F"/>
          <w:szCs w:val="18"/>
          <w:lang w:eastAsia="es-MX"/>
        </w:rPr>
        <w:t>D</w:t>
      </w:r>
      <w:r w:rsidR="002316FF" w:rsidRPr="00284264">
        <w:rPr>
          <w:rFonts w:ascii="Soberana Sans Light" w:hAnsi="Soberana Sans Light" w:cs="Arial"/>
          <w:color w:val="2F2F2F"/>
          <w:szCs w:val="18"/>
          <w:lang w:eastAsia="es-MX"/>
        </w:rPr>
        <w:t>isposiciones</w:t>
      </w:r>
      <w:r w:rsidR="00352494"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352494" w:rsidRPr="004F0A0F" w:rsidDel="000B1DC1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A0015A" w:rsidRPr="004F0A0F">
        <w:rPr>
          <w:rFonts w:ascii="Soberana Sans Light" w:hAnsi="Soberana Sans Light" w:cs="Arial"/>
          <w:color w:val="2F2F2F"/>
          <w:szCs w:val="18"/>
          <w:lang w:eastAsia="es-MX"/>
        </w:rPr>
        <w:t>(Lineamientos de Terceros)</w:t>
      </w:r>
      <w:r w:rsidR="000451D2"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, </w:t>
      </w: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Tercero Autorizado por la Agencia Nacional de Seguridad Industrial y de Protección al Medio Ambiente del Sector Hidrocarburos, procedí a realizar la </w:t>
      </w:r>
      <w:r w:rsidRPr="00284264">
        <w:rPr>
          <w:rFonts w:ascii="Soberana Sans Light" w:hAnsi="Soberana Sans Light" w:cs="Arial"/>
          <w:bCs/>
          <w:color w:val="0070C0"/>
          <w:szCs w:val="18"/>
          <w:lang w:eastAsia="es-MX"/>
        </w:rPr>
        <w:t>&lt;&lt;verificación documental&gt;&gt;</w:t>
      </w: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912D8F" w:rsidRPr="00B33512">
        <w:rPr>
          <w:rFonts w:ascii="Soberana Sans Light" w:hAnsi="Soberana Sans Light"/>
          <w:szCs w:val="18"/>
        </w:rPr>
        <w:t xml:space="preserve">del cumplimiento del marco regulatorio aplicable y las mejores prácticas del programa de desmantelamiento de la instalación </w:t>
      </w:r>
      <w:r w:rsidR="00912D8F">
        <w:rPr>
          <w:rFonts w:ascii="Soberana Sans Light" w:hAnsi="Soberana Sans Light" w:cs="Arial"/>
          <w:color w:val="2F2F2F"/>
          <w:szCs w:val="18"/>
          <w:lang w:eastAsia="es-MX"/>
        </w:rPr>
        <w:t>denominada</w:t>
      </w: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Pr="00284264">
        <w:rPr>
          <w:rFonts w:ascii="Soberana Sans Light" w:hAnsi="Soberana Sans Light" w:cs="Arial"/>
          <w:bCs/>
          <w:color w:val="0070C0"/>
          <w:szCs w:val="18"/>
          <w:lang w:eastAsia="es-MX"/>
        </w:rPr>
        <w:t>&lt;&lt;nombre de la instalación&gt;&gt;,</w:t>
      </w: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 en lo relativo</w:t>
      </w:r>
      <w:r w:rsidR="00664CB2">
        <w:rPr>
          <w:rFonts w:ascii="Soberana Sans Light" w:hAnsi="Soberana Sans Light" w:cs="Arial"/>
          <w:color w:val="2F2F2F"/>
          <w:szCs w:val="18"/>
          <w:lang w:eastAsia="es-MX"/>
        </w:rPr>
        <w:t xml:space="preserve"> al</w:t>
      </w:r>
      <w:r w:rsidRPr="00284264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B33512" w:rsidRPr="00B33512">
        <w:rPr>
          <w:rFonts w:ascii="Soberana Sans Light" w:hAnsi="Soberana Sans Light" w:cs="Arial"/>
          <w:szCs w:val="18"/>
        </w:rPr>
        <w:t>c</w:t>
      </w:r>
      <w:r w:rsidR="00664CB2" w:rsidRPr="00B33512">
        <w:rPr>
          <w:rFonts w:ascii="Soberana Sans Light" w:hAnsi="Soberana Sans Light" w:cs="Arial"/>
          <w:szCs w:val="18"/>
        </w:rPr>
        <w:t>apítulo VIII, Artículos del 87 al 100 y Articulo 113,</w:t>
      </w:r>
      <w:r w:rsidR="00664CB2" w:rsidRPr="00B33512">
        <w:rPr>
          <w:rFonts w:ascii="Soberana Sans Light" w:hAnsi="Soberana Sans Light" w:cs="Arial"/>
          <w:bCs/>
          <w:szCs w:val="18"/>
          <w:lang w:eastAsia="es-MX"/>
        </w:rPr>
        <w:t xml:space="preserve"> </w:t>
      </w:r>
      <w:r w:rsidR="00664CB2" w:rsidRPr="00C83B43">
        <w:rPr>
          <w:rFonts w:ascii="Soberana Sans Light" w:hAnsi="Soberana Sans Light" w:cs="Arial"/>
          <w:color w:val="000000"/>
          <w:szCs w:val="18"/>
          <w:lang w:eastAsia="es-MX"/>
        </w:rPr>
        <w:t>obten</w:t>
      </w:r>
      <w:r w:rsidR="00664CB2">
        <w:rPr>
          <w:rFonts w:ascii="Soberana Sans Light" w:hAnsi="Soberana Sans Light" w:cs="Arial"/>
          <w:color w:val="000000"/>
          <w:szCs w:val="18"/>
          <w:lang w:eastAsia="es-MX"/>
        </w:rPr>
        <w:t>iendo los siguientes resultados:</w:t>
      </w:r>
    </w:p>
    <w:p w14:paraId="3B00B300" w14:textId="77777777" w:rsidR="00B33512" w:rsidRDefault="00B33512" w:rsidP="00B33512">
      <w:pPr>
        <w:pStyle w:val="texto"/>
        <w:jc w:val="center"/>
        <w:rPr>
          <w:rFonts w:ascii="Soberana Sans Light" w:hAnsi="Soberana Sans Light" w:cs="Arial"/>
          <w:color w:val="2F2F2F"/>
          <w:szCs w:val="18"/>
          <w:lang w:eastAsia="es-MX"/>
        </w:rPr>
      </w:pPr>
      <w:r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LISTA DE VERIFICACIÓN</w:t>
      </w:r>
    </w:p>
    <w:tbl>
      <w:tblPr>
        <w:tblW w:w="9953" w:type="dxa"/>
        <w:tblInd w:w="-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403"/>
        <w:gridCol w:w="1134"/>
        <w:gridCol w:w="283"/>
        <w:gridCol w:w="425"/>
        <w:gridCol w:w="820"/>
        <w:gridCol w:w="985"/>
        <w:gridCol w:w="1344"/>
      </w:tblGrid>
      <w:tr w:rsidR="00284264" w:rsidRPr="004F0A0F" w14:paraId="26DB2B35" w14:textId="77777777" w:rsidTr="00F963FB">
        <w:trPr>
          <w:trHeight w:val="3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50584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316409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Artículos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760E6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Texto de referencia de la</w:t>
            </w:r>
          </w:p>
          <w:p w14:paraId="03AD10CE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A599F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D9D9D9"/>
          </w:tcPr>
          <w:p w14:paraId="07FCF7BD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8D25F" w14:textId="77777777" w:rsidR="00284264" w:rsidRPr="009A591B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591B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Referencia de la Evidencia de soporte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B4FA4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284264" w:rsidRPr="004F0A0F" w14:paraId="75D8B561" w14:textId="77777777" w:rsidTr="00F963FB">
        <w:trPr>
          <w:trHeight w:val="3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567EC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409023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E692E3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9DF831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472E98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Cumple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D338EF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strike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  <w:r w:rsidRPr="00CA2F04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br/>
            </w: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C201C" w14:textId="77777777" w:rsidR="00284264" w:rsidRPr="00CA2F0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8B29B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84264" w:rsidRPr="004F0A0F" w14:paraId="7C8135A0" w14:textId="77777777" w:rsidTr="00F963FB">
        <w:trPr>
          <w:trHeight w:val="3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3389C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8F8194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6ADA7C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CD170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0BA268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25F21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E82577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23412" w14:textId="77777777" w:rsidR="00284264" w:rsidRPr="00CA2F0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C4A1D4" w14:textId="77777777" w:rsidR="00284264" w:rsidRPr="00CA2F0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84264" w:rsidRPr="004F0A0F" w14:paraId="6FCD134B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45D2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CA4529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CBEE64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el Aviso de Cambio de Operaciones quince días hábiles, previo al inicio y desarrollo de la etapa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Desmantelamiento de cualquier Instalación, incluyendo Pozos, así como en el caso en que los Regulados procedan a la devolución parcial o total del Área Contractual o de Asignación.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4A86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88A223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00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2B82FC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C0F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494E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1C85062C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1BE9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BD7044" w14:textId="77777777" w:rsidR="00284264" w:rsidRPr="004F0A0F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88CA81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avisos a los que se refiere el artículo anterior 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yen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 declaración bajo protesta de decir verdad 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que señalen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desarrollo de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operaciones 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desmantelamiento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de conformidad con los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requisitos y especificaciones que para tal actividad establece la legislación y normatividad aplicable.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7C9E" w14:textId="77777777" w:rsidR="00284264" w:rsidRDefault="00284264" w:rsidP="00F963FB"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32BDB9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33A7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BB7885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3A8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B121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15E78DFF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8EE4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58908D" w14:textId="77777777" w:rsidR="00284264" w:rsidRPr="004F0A0F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AE5541" w14:textId="77777777" w:rsidR="00284264" w:rsidRPr="00294F2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etapa de 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ateria de Seguridad Industrial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680964E5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dicho Programa cumple con el marco regulatorio aplicable y las mejores prácticas en materia de Seguridad Industrial.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8D91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F3CE7D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0F2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0ABE1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71D1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344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117775C2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F1C24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278D3C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620FE2" w14:textId="77777777" w:rsidR="00284264" w:rsidRPr="00294F2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etapa de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materia de Seguridad Operativa 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7008502D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dicho Programa cumple con el marco regulatorio aplicable y las mejores prácticas en materia de Seguridad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Operativa.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8D0F4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74C4D5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EF3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6EDCBC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E6E7" w14:textId="78D36980" w:rsidR="001C6799" w:rsidRDefault="001C6799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  <w:p w14:paraId="61835CFE" w14:textId="77777777" w:rsidR="00284264" w:rsidRPr="001C6799" w:rsidRDefault="00284264" w:rsidP="001C6799">
            <w:pP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DC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  <w:tr w:rsidR="00284264" w:rsidRPr="004F0A0F" w14:paraId="48417D5F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D4FDF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1DE0EC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4A9F71" w14:textId="77777777" w:rsidR="00284264" w:rsidRPr="00294F2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etapa de 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materia de protección al medio ambiente 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13D3867F" w14:textId="77777777" w:rsidR="00284264" w:rsidRPr="00294F2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dicho Programa cumple con el marco regulatorio aplicable y las mejores prácticas en materia de </w:t>
            </w:r>
          </w:p>
          <w:p w14:paraId="34DB84D0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protección al medio ambiente.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EEC3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0E8875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AD45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2515D2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E664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60A6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336E1C68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380C7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200EE9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E8D876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Previo al inicio de las actividades de Taponamiento,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el Aviso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Cambio de Operaciones.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4FC35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0C7931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A8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DFDAF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491D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277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7D05D45C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49F12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972E7C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DF26AF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Agencia podrá ordenar el Taponamiento permanente, cuando el mismo represente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un Riesgo Crítico para la integridad física de las personas, la protección al medio ambiente o las Instalaciones.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E708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3B07A2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90B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DCA58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1F36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1510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104A9ACC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0CD8C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CA6514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94755A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uenta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procedimientos y medidas de mitigación para minimizar los Impactos durante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operaciones de trascabo y Taponamiento.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C34E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5F575C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3DF7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00E287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3EE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8A2D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25713180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2B4D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86DC60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C11994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se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cercior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que los tapones del Pozo: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2048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611A6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639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DE5391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B79E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65A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55A6E782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4B712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6FF087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 inciso I.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6B2D5C" w14:textId="77777777" w:rsidR="00284264" w:rsidRPr="000E6EFA" w:rsidRDefault="00284264" w:rsidP="00F963FB">
            <w:pPr>
              <w:pStyle w:val="Prrafodelista"/>
              <w:numPr>
                <w:ilvl w:val="0"/>
                <w:numId w:val="10"/>
              </w:numPr>
              <w:spacing w:after="20" w:line="240" w:lineRule="auto"/>
              <w:ind w:left="380" w:hanging="380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Aísl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las formaciones productoras de Hidrocarburos, 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7E362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9B12F3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C0C7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1A7D97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7E4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E18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6106F911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496E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69EDAF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 inciso II.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D01BA2" w14:textId="77777777" w:rsidR="00284264" w:rsidRPr="000E6EFA" w:rsidRDefault="00284264" w:rsidP="00F963FB">
            <w:pPr>
              <w:pStyle w:val="Prrafodelista"/>
              <w:numPr>
                <w:ilvl w:val="0"/>
                <w:numId w:val="10"/>
              </w:numPr>
              <w:spacing w:after="20" w:line="240" w:lineRule="auto"/>
              <w:ind w:left="380" w:hanging="380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la migración de fluidos de formación dentro del Pozo.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0CD27" w14:textId="77777777" w:rsidR="00284264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8B069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C40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AAC494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6018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5C26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2B5817A1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DE427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76AA59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71EDAD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Pozos considerados fuera de vida útil, se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procedió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 su Taponamiento definitivo conforme a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normatividad reconocida en el Sistema de Administración autorizado por la Agencia.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7DB6A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695BF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8A4C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983E7B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C95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6546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73FAD1BD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5639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EBC7A3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5686AB" w14:textId="77777777" w:rsidR="00284264" w:rsidRPr="00815325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ó dentro del plazo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máximo de quince días hábiles posteriores al término del</w:t>
            </w:r>
          </w:p>
          <w:p w14:paraId="6079086A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Programa de Desmantelamiento, el Aviso de Cambio de Operaciones, el cual 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 declaración bajo protesta de decir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verdad en la que señalen que las operaciones se desarrollaron de conformidad con el Programa correspondiente.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B07D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3670D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4E0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8FBA30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9449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DFB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646D510F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D2DA7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DD5262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AE570A" w14:textId="77777777" w:rsidR="00284264" w:rsidRPr="004E1380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el caso en que los Regulados procedan a la devolución del Área Contractual o de Asignación, ya sea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parcial o total, cumpl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lo establecido en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lineamientos y en las disposiciones que para tal efecto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emite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Agencia.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E183" w14:textId="77777777" w:rsidR="00284264" w:rsidRDefault="00284264" w:rsidP="00F963FB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D15859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E8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0146AA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BC20" w14:textId="77777777" w:rsidR="00284264" w:rsidRPr="004F0A0F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05B3" w14:textId="77777777" w:rsidR="00284264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84264" w:rsidRPr="004F0A0F" w14:paraId="57E3BB38" w14:textId="77777777" w:rsidTr="00F963F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8CA8" w14:textId="77777777" w:rsidR="00284264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DFEB90" w14:textId="77777777" w:rsidR="00284264" w:rsidRPr="00C14591" w:rsidRDefault="00284264" w:rsidP="00F963F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113 inciso XV.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5CC7AE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presentó a la Agencia el Aviso de Cambio de Operaciones, utilizando el formato que la Agencia establece para estos efectos, previo al inicio de la etapa de desmantelamiento.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54C48" w14:textId="77777777" w:rsidR="00284264" w:rsidRPr="00C14591" w:rsidRDefault="00284264" w:rsidP="00F963F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C397B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690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5129B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71F1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F5C8" w14:textId="77777777" w:rsidR="00284264" w:rsidRPr="00C14591" w:rsidRDefault="00284264" w:rsidP="00F963F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4C111718" w14:textId="2FFA691D" w:rsidR="00284264" w:rsidRDefault="00284264" w:rsidP="007279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W w:w="9923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4F0A0F" w14:paraId="2BD8B9F1" w14:textId="77777777" w:rsidTr="00D029EC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4F7217" w14:textId="77777777" w:rsidR="00D83A6D" w:rsidRPr="004F0A0F" w:rsidRDefault="00C01B42" w:rsidP="004F0A0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" w:name="_Hlk497750656"/>
            <w:r w:rsidRPr="004F0A0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2A5E4B" w:rsidRPr="004F0A0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GENERALES:</w:t>
            </w:r>
          </w:p>
        </w:tc>
      </w:tr>
      <w:tr w:rsidR="00D83A6D" w:rsidRPr="004F0A0F" w14:paraId="348D32AA" w14:textId="77777777" w:rsidTr="00D029EC">
        <w:trPr>
          <w:trHeight w:val="73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62275F" w14:textId="55B8805F" w:rsidR="00D83A6D" w:rsidRPr="004F0A0F" w:rsidRDefault="00D83A6D" w:rsidP="004F0A0F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 xml:space="preserve">&lt;&lt; Describir observaciones en caso de </w:t>
            </w:r>
            <w:r w:rsidR="00664CB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existir</w:t>
            </w:r>
            <w:r w:rsidRPr="004F0A0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  <w:r w:rsidRPr="004F0A0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27DD84B8" w14:textId="77777777" w:rsidR="00D83A6D" w:rsidRPr="004F0A0F" w:rsidRDefault="00D83A6D" w:rsidP="004F0A0F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83A6D" w:rsidRPr="004F0A0F" w14:paraId="46BE6A9E" w14:textId="77777777" w:rsidTr="00D029EC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8393BF7" w14:textId="77777777" w:rsidR="00D83A6D" w:rsidRPr="004F0A0F" w:rsidRDefault="002624D3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="002A5E4B" w:rsidRPr="004F0A0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2A5E4B"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D83A6D" w:rsidRPr="004F0A0F" w14:paraId="232DD9D9" w14:textId="77777777" w:rsidTr="002624D3">
        <w:trPr>
          <w:trHeight w:val="814"/>
        </w:trPr>
        <w:tc>
          <w:tcPr>
            <w:tcW w:w="4815" w:type="dxa"/>
            <w:vAlign w:val="bottom"/>
          </w:tcPr>
          <w:p w14:paraId="120CFADB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70053AA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</w:t>
            </w:r>
            <w:r w:rsidR="00D029EC"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</w:t>
            </w:r>
          </w:p>
          <w:p w14:paraId="02966BC4" w14:textId="77777777" w:rsidR="002B0395" w:rsidRPr="004F0A0F" w:rsidRDefault="002624D3" w:rsidP="004F0A0F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</w:t>
            </w:r>
            <w:r w:rsidR="00614599"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écnico</w:t>
            </w:r>
            <w:r w:rsidR="00D83A6D"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especializado en</w:t>
            </w:r>
            <w:r w:rsidR="00D83A6D"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14:paraId="5FB0EADC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2EDDA8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DFA3772" w14:textId="77777777" w:rsidR="002B0395" w:rsidRPr="004F0A0F" w:rsidRDefault="002624D3" w:rsidP="004F0A0F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D83A6D" w:rsidRPr="004F0A0F" w14:paraId="3B1585BB" w14:textId="77777777" w:rsidTr="002624D3">
        <w:trPr>
          <w:trHeight w:val="814"/>
        </w:trPr>
        <w:tc>
          <w:tcPr>
            <w:tcW w:w="4815" w:type="dxa"/>
            <w:vAlign w:val="bottom"/>
          </w:tcPr>
          <w:p w14:paraId="310B0D9C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15E0DB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</w:t>
            </w:r>
            <w:r w:rsidR="00D029EC"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14:paraId="325FFA77" w14:textId="77777777" w:rsidR="002B0395" w:rsidRPr="004F0A0F" w:rsidRDefault="002624D3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14:paraId="271876F5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09852AB" w14:textId="77777777" w:rsidR="00D83A6D" w:rsidRPr="004F0A0F" w:rsidRDefault="00D83A6D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EA856C5" w14:textId="77777777" w:rsidR="002B0395" w:rsidRPr="004F0A0F" w:rsidRDefault="002624D3" w:rsidP="004F0A0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664CB2" w:rsidRPr="00920F64" w14:paraId="73FCE22D" w14:textId="77777777" w:rsidTr="00F963FB">
        <w:trPr>
          <w:trHeight w:val="170"/>
        </w:trPr>
        <w:tc>
          <w:tcPr>
            <w:tcW w:w="9918" w:type="dxa"/>
            <w:gridSpan w:val="2"/>
            <w:vAlign w:val="bottom"/>
          </w:tcPr>
          <w:p w14:paraId="4F04534F" w14:textId="77777777" w:rsidR="00664CB2" w:rsidRPr="009A7360" w:rsidRDefault="00664CB2" w:rsidP="00F963FB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A736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Nota:</w:t>
            </w:r>
            <w:r w:rsidRPr="009A736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664CB2" w:rsidRPr="00920F64" w14:paraId="26D8CAA8" w14:textId="77777777" w:rsidTr="00F963FB">
        <w:trPr>
          <w:trHeight w:val="397"/>
        </w:trPr>
        <w:tc>
          <w:tcPr>
            <w:tcW w:w="9918" w:type="dxa"/>
            <w:gridSpan w:val="2"/>
            <w:vAlign w:val="bottom"/>
          </w:tcPr>
          <w:p w14:paraId="477DC871" w14:textId="77777777" w:rsidR="00664CB2" w:rsidRPr="00920F64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7F66B3" w14:textId="77777777" w:rsidR="00664CB2" w:rsidRPr="00920F64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1593BE17" w14:textId="77777777" w:rsidR="00664CB2" w:rsidRPr="00920F64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&lt;&lt;Nombre y firma del Responsable Técnico</w:t>
            </w:r>
          </w:p>
          <w:p w14:paraId="5FF042C2" w14:textId="77777777" w:rsidR="00664CB2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14:paraId="1F3DF47B" w14:textId="77777777" w:rsidR="00664CB2" w:rsidRPr="00920F64" w:rsidRDefault="00664CB2" w:rsidP="00F963FB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D83A6D" w:rsidRPr="004F0A0F" w14:paraId="01363C36" w14:textId="77777777" w:rsidTr="000470C0">
        <w:trPr>
          <w:trHeight w:val="574"/>
        </w:trPr>
        <w:tc>
          <w:tcPr>
            <w:tcW w:w="9918" w:type="dxa"/>
            <w:gridSpan w:val="2"/>
          </w:tcPr>
          <w:p w14:paraId="3A419678" w14:textId="6EBE2AD2" w:rsidR="0083674F" w:rsidRPr="004F0A0F" w:rsidRDefault="00D83A6D" w:rsidP="004F0A0F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Declaro bajo protesta de decir verdad que los </w:t>
            </w:r>
            <w:r w:rsidR="0078067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datos asentados en la</w:t>
            </w:r>
            <w:r w:rsidR="00D029EC"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78067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lista de verificación</w:t>
            </w:r>
            <w:r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</w:t>
            </w:r>
            <w:r w:rsidR="004A3ABB"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5A0B8D"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que,</w:t>
            </w:r>
            <w:r w:rsidRPr="004F0A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en su caso, procedan.</w:t>
            </w:r>
          </w:p>
        </w:tc>
      </w:tr>
      <w:tr w:rsidR="00664CB2" w:rsidRPr="00920F64" w14:paraId="7785DC14" w14:textId="77777777" w:rsidTr="00664CB2">
        <w:trPr>
          <w:trHeight w:val="203"/>
        </w:trPr>
        <w:tc>
          <w:tcPr>
            <w:tcW w:w="9918" w:type="dxa"/>
            <w:gridSpan w:val="2"/>
          </w:tcPr>
          <w:p w14:paraId="4DEF7C71" w14:textId="649E97DF" w:rsidR="00664CB2" w:rsidRPr="00920F64" w:rsidRDefault="00A06A48" w:rsidP="00F963FB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664CB2"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664CB2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64CB2" w:rsidRPr="00920F64" w14:paraId="549C700B" w14:textId="77777777" w:rsidTr="00664CB2">
        <w:trPr>
          <w:trHeight w:val="679"/>
        </w:trPr>
        <w:tc>
          <w:tcPr>
            <w:tcW w:w="9918" w:type="dxa"/>
            <w:gridSpan w:val="2"/>
          </w:tcPr>
          <w:p w14:paraId="6558F415" w14:textId="77777777" w:rsidR="00664CB2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98BD8C" w14:textId="77777777" w:rsidR="00664CB2" w:rsidRPr="00920F64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1EAC5743" w14:textId="40F7BD09" w:rsidR="00664CB2" w:rsidRPr="00920F64" w:rsidRDefault="00664CB2" w:rsidP="00F963FB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A06A48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que atiende la presente verificación&gt;&gt;</w:t>
            </w:r>
          </w:p>
        </w:tc>
      </w:tr>
    </w:tbl>
    <w:p w14:paraId="477F8169" w14:textId="238C7001" w:rsidR="009A591B" w:rsidRDefault="009A591B" w:rsidP="00664CB2">
      <w:pPr>
        <w:spacing w:after="0"/>
        <w:rPr>
          <w:rFonts w:ascii="Soberana Sans Light" w:hAnsi="Soberana Sans Light"/>
          <w:b/>
          <w:sz w:val="24"/>
          <w:szCs w:val="18"/>
        </w:rPr>
        <w:sectPr w:rsidR="009A591B" w:rsidSect="001C679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5" w:bottom="1418" w:left="1134" w:header="510" w:footer="709" w:gutter="0"/>
          <w:cols w:space="708"/>
          <w:titlePg/>
          <w:docGrid w:linePitch="360"/>
        </w:sectPr>
      </w:pPr>
    </w:p>
    <w:bookmarkEnd w:id="1"/>
    <w:p w14:paraId="248C6865" w14:textId="120AC1BB" w:rsidR="00A551D5" w:rsidRPr="009A591B" w:rsidRDefault="00A551D5" w:rsidP="00664CB2">
      <w:pPr>
        <w:spacing w:after="0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sectPr w:rsidR="00A551D5" w:rsidRPr="009A591B" w:rsidSect="00A551D5">
      <w:pgSz w:w="12240" w:h="15840"/>
      <w:pgMar w:top="851" w:right="118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A308" w14:textId="77777777" w:rsidR="00844E6E" w:rsidRDefault="00844E6E" w:rsidP="00445A6B">
      <w:pPr>
        <w:spacing w:after="0" w:line="240" w:lineRule="auto"/>
      </w:pPr>
      <w:r>
        <w:separator/>
      </w:r>
    </w:p>
  </w:endnote>
  <w:endnote w:type="continuationSeparator" w:id="0">
    <w:p w14:paraId="58E0F6BA" w14:textId="77777777" w:rsidR="00844E6E" w:rsidRDefault="00844E6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098210"/>
      <w:docPartObj>
        <w:docPartGallery w:val="Page Numbers (Bottom of Page)"/>
        <w:docPartUnique/>
      </w:docPartObj>
    </w:sdtPr>
    <w:sdtEndPr/>
    <w:sdtContent>
      <w:p w14:paraId="4025DC33" w14:textId="308EAD65" w:rsidR="00962970" w:rsidRDefault="00962970">
        <w:pPr>
          <w:pStyle w:val="Piedepgina"/>
          <w:jc w:val="right"/>
        </w:pPr>
        <w:r>
          <w:t xml:space="preserve">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6799" w:rsidRPr="001C6799">
          <w:rPr>
            <w:noProof/>
            <w:lang w:val="es-ES"/>
          </w:rPr>
          <w:t>4</w:t>
        </w:r>
        <w:r>
          <w:fldChar w:fldCharType="end"/>
        </w:r>
        <w:r>
          <w:t xml:space="preserve"> de Pág. “n”)</w:t>
        </w:r>
      </w:p>
    </w:sdtContent>
  </w:sdt>
  <w:p w14:paraId="077D6952" w14:textId="77777777" w:rsidR="00962970" w:rsidRDefault="00962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2083799849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1DECE" w14:textId="7775FC26" w:rsidR="001C6799" w:rsidRPr="001C6799" w:rsidRDefault="001C6799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1C6799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1C6799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5</w:t>
            </w:r>
            <w:r w:rsidRPr="001C6799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C7233B" w14:textId="677088BC" w:rsidR="00586DC5" w:rsidRDefault="00586DC5" w:rsidP="00586DC5">
    <w:pPr>
      <w:pStyle w:val="Piedepgina"/>
      <w:rPr>
        <w:sz w:val="18"/>
      </w:rPr>
    </w:pPr>
    <w:r>
      <w:rPr>
        <w:sz w:val="18"/>
      </w:rPr>
      <w:t>FD-AUEEN14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1C99" w14:textId="77777777" w:rsidR="00844E6E" w:rsidRDefault="00844E6E" w:rsidP="00445A6B">
      <w:pPr>
        <w:spacing w:after="0" w:line="240" w:lineRule="auto"/>
      </w:pPr>
      <w:r>
        <w:separator/>
      </w:r>
    </w:p>
  </w:footnote>
  <w:footnote w:type="continuationSeparator" w:id="0">
    <w:p w14:paraId="01237FB9" w14:textId="77777777" w:rsidR="00844E6E" w:rsidRDefault="00844E6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E18A" w14:textId="77777777" w:rsidR="000B1DC1" w:rsidRDefault="000B1DC1">
    <w:pPr>
      <w:pStyle w:val="Encabezado"/>
    </w:pPr>
  </w:p>
  <w:tbl>
    <w:tblPr>
      <w:tblW w:w="9923" w:type="dxa"/>
      <w:tblInd w:w="-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923"/>
    </w:tblGrid>
    <w:tr w:rsidR="000B1DC1" w:rsidRPr="00723095" w14:paraId="11C11867" w14:textId="77777777" w:rsidTr="0083674F">
      <w:trPr>
        <w:trHeight w:val="328"/>
      </w:trPr>
      <w:tc>
        <w:tcPr>
          <w:tcW w:w="99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0738311F" w14:textId="77777777" w:rsidR="000B1DC1" w:rsidRPr="0083674F" w:rsidRDefault="00021AD9" w:rsidP="003E04F0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&lt;&lt;Número de Registro del T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ercero Autorizado / Número consecutivo de </w:t>
          </w:r>
          <w:r w:rsidR="00A6372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Dictamen T</w:t>
          </w:r>
          <w:r w:rsidR="003E04F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écnico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fecha de elaboración del </w:t>
          </w:r>
          <w:r w:rsidR="003E04F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Dictamen Técnico 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(</w:t>
          </w:r>
          <w:proofErr w:type="spellStart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dd</w:t>
          </w:r>
          <w:proofErr w:type="spellEnd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-mm-</w:t>
          </w:r>
          <w:proofErr w:type="spellStart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aaaa</w:t>
          </w:r>
          <w:proofErr w:type="spellEnd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)&gt;&gt;</w:t>
          </w:r>
        </w:p>
      </w:tc>
    </w:tr>
  </w:tbl>
  <w:p w14:paraId="37D1EC5A" w14:textId="77777777" w:rsidR="000B1DC1" w:rsidRDefault="000B1D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1C6799" w:rsidRPr="001C6799" w14:paraId="4074B955" w14:textId="77777777" w:rsidTr="001C6799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50F3D76" w14:textId="77777777" w:rsidR="00BB53B7" w:rsidRPr="001C6799" w:rsidRDefault="00BB53B7" w:rsidP="001C6799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bookmarkStart w:id="2" w:name="_Hlk497750727"/>
          <w:r w:rsidRPr="001C6799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4B59C0C" w14:textId="77777777" w:rsidR="00BB53B7" w:rsidRPr="001C6799" w:rsidRDefault="00BB53B7" w:rsidP="00BB53B7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63027D4" w14:textId="77777777" w:rsidR="00BB53B7" w:rsidRPr="001C6799" w:rsidRDefault="00BB53B7" w:rsidP="001C6799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C6799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58F6D4C8" w14:textId="77777777" w:rsidR="00BB53B7" w:rsidRDefault="00BB53B7" w:rsidP="00BB53B7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1"/>
    </w:tblGrid>
    <w:tr w:rsidR="00BB53B7" w14:paraId="1991651E" w14:textId="77777777" w:rsidTr="001C6799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104DF3DF" w14:textId="2EBCB04C" w:rsidR="00BB53B7" w:rsidRDefault="00BB53B7" w:rsidP="00BB53B7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Autorización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 Lista de verificación: LV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  <w:bookmarkEnd w:id="2"/>
  </w:tbl>
  <w:p w14:paraId="2EC5035C" w14:textId="77777777" w:rsidR="009A591B" w:rsidRDefault="009A5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6B"/>
    <w:multiLevelType w:val="hybridMultilevel"/>
    <w:tmpl w:val="434E7E0C"/>
    <w:lvl w:ilvl="0" w:tplc="69B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AFC"/>
    <w:multiLevelType w:val="hybridMultilevel"/>
    <w:tmpl w:val="DD186FBA"/>
    <w:lvl w:ilvl="0" w:tplc="14FE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5E95"/>
    <w:rsid w:val="00011FD8"/>
    <w:rsid w:val="00021AD9"/>
    <w:rsid w:val="00024EC9"/>
    <w:rsid w:val="00025798"/>
    <w:rsid w:val="000273CA"/>
    <w:rsid w:val="00027A19"/>
    <w:rsid w:val="00036BF3"/>
    <w:rsid w:val="000451D2"/>
    <w:rsid w:val="00046441"/>
    <w:rsid w:val="000470C0"/>
    <w:rsid w:val="0005175F"/>
    <w:rsid w:val="00052658"/>
    <w:rsid w:val="000625AB"/>
    <w:rsid w:val="00065677"/>
    <w:rsid w:val="0007055C"/>
    <w:rsid w:val="00074F1C"/>
    <w:rsid w:val="00082CB2"/>
    <w:rsid w:val="00084C0E"/>
    <w:rsid w:val="0008757C"/>
    <w:rsid w:val="0009530F"/>
    <w:rsid w:val="000A3A06"/>
    <w:rsid w:val="000B1DC1"/>
    <w:rsid w:val="000B6578"/>
    <w:rsid w:val="000C2ACA"/>
    <w:rsid w:val="000C6ADD"/>
    <w:rsid w:val="000D1CE2"/>
    <w:rsid w:val="000D62E3"/>
    <w:rsid w:val="000E6EFA"/>
    <w:rsid w:val="00102DC7"/>
    <w:rsid w:val="00113304"/>
    <w:rsid w:val="001214C3"/>
    <w:rsid w:val="00125E73"/>
    <w:rsid w:val="00126E7A"/>
    <w:rsid w:val="0012729F"/>
    <w:rsid w:val="001312E1"/>
    <w:rsid w:val="00137E38"/>
    <w:rsid w:val="0014462F"/>
    <w:rsid w:val="00161271"/>
    <w:rsid w:val="00176E00"/>
    <w:rsid w:val="0018000F"/>
    <w:rsid w:val="00181F69"/>
    <w:rsid w:val="0018617F"/>
    <w:rsid w:val="00191943"/>
    <w:rsid w:val="001A6C2D"/>
    <w:rsid w:val="001A72B8"/>
    <w:rsid w:val="001A7BF7"/>
    <w:rsid w:val="001B08B7"/>
    <w:rsid w:val="001B5620"/>
    <w:rsid w:val="001C6799"/>
    <w:rsid w:val="001D5D84"/>
    <w:rsid w:val="001E116B"/>
    <w:rsid w:val="001F4E23"/>
    <w:rsid w:val="001F681C"/>
    <w:rsid w:val="00202221"/>
    <w:rsid w:val="00215DEE"/>
    <w:rsid w:val="002312BB"/>
    <w:rsid w:val="002316FF"/>
    <w:rsid w:val="00232A7C"/>
    <w:rsid w:val="00240B41"/>
    <w:rsid w:val="00252EE4"/>
    <w:rsid w:val="0025712E"/>
    <w:rsid w:val="00260C06"/>
    <w:rsid w:val="002624D3"/>
    <w:rsid w:val="002723C7"/>
    <w:rsid w:val="0028375D"/>
    <w:rsid w:val="00284264"/>
    <w:rsid w:val="002921CB"/>
    <w:rsid w:val="00293CC4"/>
    <w:rsid w:val="00294F01"/>
    <w:rsid w:val="00294F21"/>
    <w:rsid w:val="002A1B67"/>
    <w:rsid w:val="002A29F2"/>
    <w:rsid w:val="002A5E4B"/>
    <w:rsid w:val="002A63FA"/>
    <w:rsid w:val="002B0395"/>
    <w:rsid w:val="002B3CD3"/>
    <w:rsid w:val="002B60F2"/>
    <w:rsid w:val="002B74FC"/>
    <w:rsid w:val="002C2116"/>
    <w:rsid w:val="002D0DC7"/>
    <w:rsid w:val="002D266B"/>
    <w:rsid w:val="002E2114"/>
    <w:rsid w:val="002F354F"/>
    <w:rsid w:val="00307B71"/>
    <w:rsid w:val="0031405B"/>
    <w:rsid w:val="00314545"/>
    <w:rsid w:val="00325D89"/>
    <w:rsid w:val="003273A3"/>
    <w:rsid w:val="00336194"/>
    <w:rsid w:val="0034017E"/>
    <w:rsid w:val="00352494"/>
    <w:rsid w:val="00361557"/>
    <w:rsid w:val="00372A79"/>
    <w:rsid w:val="00372A88"/>
    <w:rsid w:val="00376FE8"/>
    <w:rsid w:val="0039074B"/>
    <w:rsid w:val="0039553A"/>
    <w:rsid w:val="003A2BF6"/>
    <w:rsid w:val="003A3115"/>
    <w:rsid w:val="003B1A6B"/>
    <w:rsid w:val="003B3163"/>
    <w:rsid w:val="003C031E"/>
    <w:rsid w:val="003C07D7"/>
    <w:rsid w:val="003D3E6C"/>
    <w:rsid w:val="003E04F0"/>
    <w:rsid w:val="00412587"/>
    <w:rsid w:val="0041440A"/>
    <w:rsid w:val="00420AC1"/>
    <w:rsid w:val="004337CF"/>
    <w:rsid w:val="00445A6B"/>
    <w:rsid w:val="00447485"/>
    <w:rsid w:val="00462F19"/>
    <w:rsid w:val="00465E62"/>
    <w:rsid w:val="004768D8"/>
    <w:rsid w:val="004810BE"/>
    <w:rsid w:val="00481221"/>
    <w:rsid w:val="00487B48"/>
    <w:rsid w:val="00491FBB"/>
    <w:rsid w:val="004A3ABB"/>
    <w:rsid w:val="004A5B9E"/>
    <w:rsid w:val="004A77FA"/>
    <w:rsid w:val="004B64ED"/>
    <w:rsid w:val="004C17D7"/>
    <w:rsid w:val="004C662F"/>
    <w:rsid w:val="004D5FB8"/>
    <w:rsid w:val="004E1380"/>
    <w:rsid w:val="004E1E35"/>
    <w:rsid w:val="004E247C"/>
    <w:rsid w:val="004E344C"/>
    <w:rsid w:val="004F0A0F"/>
    <w:rsid w:val="004F376C"/>
    <w:rsid w:val="005034DF"/>
    <w:rsid w:val="00507B76"/>
    <w:rsid w:val="00516F96"/>
    <w:rsid w:val="00533D53"/>
    <w:rsid w:val="0054119E"/>
    <w:rsid w:val="00570620"/>
    <w:rsid w:val="00580019"/>
    <w:rsid w:val="00580CEC"/>
    <w:rsid w:val="00586DC5"/>
    <w:rsid w:val="005A0B8D"/>
    <w:rsid w:val="005B0326"/>
    <w:rsid w:val="005B1DC0"/>
    <w:rsid w:val="005C13A0"/>
    <w:rsid w:val="005C522E"/>
    <w:rsid w:val="005C6619"/>
    <w:rsid w:val="005D3358"/>
    <w:rsid w:val="005D53BD"/>
    <w:rsid w:val="005E0EB9"/>
    <w:rsid w:val="005E27DC"/>
    <w:rsid w:val="005F0A6C"/>
    <w:rsid w:val="005F3D3F"/>
    <w:rsid w:val="0061049D"/>
    <w:rsid w:val="00612647"/>
    <w:rsid w:val="00614599"/>
    <w:rsid w:val="00621A52"/>
    <w:rsid w:val="006221A4"/>
    <w:rsid w:val="006271E0"/>
    <w:rsid w:val="00640917"/>
    <w:rsid w:val="00643685"/>
    <w:rsid w:val="006470ED"/>
    <w:rsid w:val="006533C3"/>
    <w:rsid w:val="006559BC"/>
    <w:rsid w:val="00656A07"/>
    <w:rsid w:val="00664CB2"/>
    <w:rsid w:val="00665E88"/>
    <w:rsid w:val="00670162"/>
    <w:rsid w:val="006752D7"/>
    <w:rsid w:val="00681191"/>
    <w:rsid w:val="00691358"/>
    <w:rsid w:val="00692A14"/>
    <w:rsid w:val="006B6288"/>
    <w:rsid w:val="006B6F06"/>
    <w:rsid w:val="006B769A"/>
    <w:rsid w:val="006D22B8"/>
    <w:rsid w:val="006D3F68"/>
    <w:rsid w:val="006E6960"/>
    <w:rsid w:val="006E7B7E"/>
    <w:rsid w:val="006F10AF"/>
    <w:rsid w:val="006F15AA"/>
    <w:rsid w:val="006F4649"/>
    <w:rsid w:val="00721E49"/>
    <w:rsid w:val="00722887"/>
    <w:rsid w:val="00723095"/>
    <w:rsid w:val="00725BB4"/>
    <w:rsid w:val="007276D9"/>
    <w:rsid w:val="007279DF"/>
    <w:rsid w:val="00731B79"/>
    <w:rsid w:val="0073688E"/>
    <w:rsid w:val="007378D0"/>
    <w:rsid w:val="00745495"/>
    <w:rsid w:val="007468BE"/>
    <w:rsid w:val="00753925"/>
    <w:rsid w:val="00762488"/>
    <w:rsid w:val="00763E1C"/>
    <w:rsid w:val="00771897"/>
    <w:rsid w:val="00774C26"/>
    <w:rsid w:val="00780674"/>
    <w:rsid w:val="00785B36"/>
    <w:rsid w:val="0078739D"/>
    <w:rsid w:val="00793401"/>
    <w:rsid w:val="007B0B95"/>
    <w:rsid w:val="007B4E4A"/>
    <w:rsid w:val="007C1499"/>
    <w:rsid w:val="007C38D0"/>
    <w:rsid w:val="007C3E68"/>
    <w:rsid w:val="007D736E"/>
    <w:rsid w:val="007F380F"/>
    <w:rsid w:val="00803151"/>
    <w:rsid w:val="00813B86"/>
    <w:rsid w:val="00815325"/>
    <w:rsid w:val="00820FCC"/>
    <w:rsid w:val="00823580"/>
    <w:rsid w:val="00827768"/>
    <w:rsid w:val="0083674F"/>
    <w:rsid w:val="00844E6E"/>
    <w:rsid w:val="008524DA"/>
    <w:rsid w:val="00861819"/>
    <w:rsid w:val="008B3D0D"/>
    <w:rsid w:val="008B4380"/>
    <w:rsid w:val="008B58F2"/>
    <w:rsid w:val="008B64D0"/>
    <w:rsid w:val="008D05B8"/>
    <w:rsid w:val="008D09A2"/>
    <w:rsid w:val="008D356A"/>
    <w:rsid w:val="008E0C0E"/>
    <w:rsid w:val="008E135D"/>
    <w:rsid w:val="008E7A0F"/>
    <w:rsid w:val="00905F41"/>
    <w:rsid w:val="00912D8F"/>
    <w:rsid w:val="00915C1B"/>
    <w:rsid w:val="00915EB6"/>
    <w:rsid w:val="00930F8A"/>
    <w:rsid w:val="009351F1"/>
    <w:rsid w:val="009464FD"/>
    <w:rsid w:val="009506B9"/>
    <w:rsid w:val="00962970"/>
    <w:rsid w:val="009742D1"/>
    <w:rsid w:val="00992677"/>
    <w:rsid w:val="009A591B"/>
    <w:rsid w:val="009A7EB2"/>
    <w:rsid w:val="009B0057"/>
    <w:rsid w:val="009B4427"/>
    <w:rsid w:val="009B4CFB"/>
    <w:rsid w:val="009C19E6"/>
    <w:rsid w:val="009E25A6"/>
    <w:rsid w:val="009E33B2"/>
    <w:rsid w:val="009E64E2"/>
    <w:rsid w:val="00A0015A"/>
    <w:rsid w:val="00A03C24"/>
    <w:rsid w:val="00A056EF"/>
    <w:rsid w:val="00A05D73"/>
    <w:rsid w:val="00A05F55"/>
    <w:rsid w:val="00A06A48"/>
    <w:rsid w:val="00A20D12"/>
    <w:rsid w:val="00A2134D"/>
    <w:rsid w:val="00A259E0"/>
    <w:rsid w:val="00A2640C"/>
    <w:rsid w:val="00A551D5"/>
    <w:rsid w:val="00A55D84"/>
    <w:rsid w:val="00A568C4"/>
    <w:rsid w:val="00A5776C"/>
    <w:rsid w:val="00A62837"/>
    <w:rsid w:val="00A6372E"/>
    <w:rsid w:val="00A712CD"/>
    <w:rsid w:val="00A75E3C"/>
    <w:rsid w:val="00A81E6F"/>
    <w:rsid w:val="00AB4544"/>
    <w:rsid w:val="00AD37EB"/>
    <w:rsid w:val="00AE0987"/>
    <w:rsid w:val="00B10DBA"/>
    <w:rsid w:val="00B244B4"/>
    <w:rsid w:val="00B2746C"/>
    <w:rsid w:val="00B27F76"/>
    <w:rsid w:val="00B33512"/>
    <w:rsid w:val="00B4080D"/>
    <w:rsid w:val="00B45BA5"/>
    <w:rsid w:val="00B60C64"/>
    <w:rsid w:val="00B62541"/>
    <w:rsid w:val="00B635E1"/>
    <w:rsid w:val="00B71BCB"/>
    <w:rsid w:val="00B7694A"/>
    <w:rsid w:val="00B83133"/>
    <w:rsid w:val="00B83435"/>
    <w:rsid w:val="00B8486A"/>
    <w:rsid w:val="00B92E5C"/>
    <w:rsid w:val="00B95547"/>
    <w:rsid w:val="00B97916"/>
    <w:rsid w:val="00BA0266"/>
    <w:rsid w:val="00BA368B"/>
    <w:rsid w:val="00BB03BB"/>
    <w:rsid w:val="00BB2FD7"/>
    <w:rsid w:val="00BB53B7"/>
    <w:rsid w:val="00BC2110"/>
    <w:rsid w:val="00BD06C5"/>
    <w:rsid w:val="00BD29A0"/>
    <w:rsid w:val="00BD2CB2"/>
    <w:rsid w:val="00BD6B2C"/>
    <w:rsid w:val="00BE4042"/>
    <w:rsid w:val="00BE7FC1"/>
    <w:rsid w:val="00BF06DA"/>
    <w:rsid w:val="00C006A4"/>
    <w:rsid w:val="00C01B42"/>
    <w:rsid w:val="00C10831"/>
    <w:rsid w:val="00C137F9"/>
    <w:rsid w:val="00C14591"/>
    <w:rsid w:val="00C17647"/>
    <w:rsid w:val="00C20415"/>
    <w:rsid w:val="00C207F6"/>
    <w:rsid w:val="00C24A22"/>
    <w:rsid w:val="00C27ADA"/>
    <w:rsid w:val="00C31763"/>
    <w:rsid w:val="00C359D3"/>
    <w:rsid w:val="00C4567E"/>
    <w:rsid w:val="00C45B43"/>
    <w:rsid w:val="00C47EE3"/>
    <w:rsid w:val="00C54DFD"/>
    <w:rsid w:val="00C67907"/>
    <w:rsid w:val="00C704EF"/>
    <w:rsid w:val="00C73B8C"/>
    <w:rsid w:val="00C73DEA"/>
    <w:rsid w:val="00C83B43"/>
    <w:rsid w:val="00C96AA8"/>
    <w:rsid w:val="00CA2F04"/>
    <w:rsid w:val="00CA4C62"/>
    <w:rsid w:val="00CA7135"/>
    <w:rsid w:val="00CA79F9"/>
    <w:rsid w:val="00CD145F"/>
    <w:rsid w:val="00CD1E0F"/>
    <w:rsid w:val="00CD3203"/>
    <w:rsid w:val="00CD6016"/>
    <w:rsid w:val="00D029EC"/>
    <w:rsid w:val="00D305C4"/>
    <w:rsid w:val="00D45B2F"/>
    <w:rsid w:val="00D50418"/>
    <w:rsid w:val="00D53075"/>
    <w:rsid w:val="00D6295F"/>
    <w:rsid w:val="00D63F49"/>
    <w:rsid w:val="00D65D73"/>
    <w:rsid w:val="00D74CF9"/>
    <w:rsid w:val="00D75471"/>
    <w:rsid w:val="00D83A6D"/>
    <w:rsid w:val="00D875C6"/>
    <w:rsid w:val="00DC42FC"/>
    <w:rsid w:val="00DD0AFA"/>
    <w:rsid w:val="00DE3154"/>
    <w:rsid w:val="00E105A3"/>
    <w:rsid w:val="00E17DB4"/>
    <w:rsid w:val="00E17DEB"/>
    <w:rsid w:val="00E21FDF"/>
    <w:rsid w:val="00E2761D"/>
    <w:rsid w:val="00E36024"/>
    <w:rsid w:val="00E459FF"/>
    <w:rsid w:val="00E52C13"/>
    <w:rsid w:val="00E665DA"/>
    <w:rsid w:val="00E747D2"/>
    <w:rsid w:val="00E75FF2"/>
    <w:rsid w:val="00E8718F"/>
    <w:rsid w:val="00E87C97"/>
    <w:rsid w:val="00E90356"/>
    <w:rsid w:val="00E91359"/>
    <w:rsid w:val="00E92B05"/>
    <w:rsid w:val="00EA414C"/>
    <w:rsid w:val="00EA5A83"/>
    <w:rsid w:val="00EB777A"/>
    <w:rsid w:val="00EC0C5F"/>
    <w:rsid w:val="00EC15A4"/>
    <w:rsid w:val="00ED4FF2"/>
    <w:rsid w:val="00EF6F17"/>
    <w:rsid w:val="00F01FE5"/>
    <w:rsid w:val="00F06728"/>
    <w:rsid w:val="00F426CC"/>
    <w:rsid w:val="00F43D39"/>
    <w:rsid w:val="00F463DF"/>
    <w:rsid w:val="00F518DB"/>
    <w:rsid w:val="00F5289B"/>
    <w:rsid w:val="00F63B54"/>
    <w:rsid w:val="00F65001"/>
    <w:rsid w:val="00F66EC0"/>
    <w:rsid w:val="00F7700E"/>
    <w:rsid w:val="00F8580F"/>
    <w:rsid w:val="00F96220"/>
    <w:rsid w:val="00FA36F2"/>
    <w:rsid w:val="00FC0D42"/>
    <w:rsid w:val="00FC4DBC"/>
    <w:rsid w:val="00FE69A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29ED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23F8-576E-47A3-9B84-B603322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11</cp:revision>
  <cp:lastPrinted>2017-05-02T18:46:00Z</cp:lastPrinted>
  <dcterms:created xsi:type="dcterms:W3CDTF">2017-11-06T19:59:00Z</dcterms:created>
  <dcterms:modified xsi:type="dcterms:W3CDTF">2018-08-02T17:20:00Z</dcterms:modified>
</cp:coreProperties>
</file>