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A145" w14:textId="77777777" w:rsidR="00EF105A" w:rsidRDefault="00EF105A" w:rsidP="00A5209E">
      <w:pPr>
        <w:spacing w:after="101" w:line="240" w:lineRule="auto"/>
        <w:ind w:firstLine="288"/>
        <w:jc w:val="center"/>
        <w:rPr>
          <w:rFonts w:ascii="Soberana Sans Light" w:hAnsi="Soberana Sans Light" w:cs="Arial"/>
          <w:noProof/>
          <w:szCs w:val="18"/>
          <w:lang w:eastAsia="es-MX"/>
        </w:rPr>
      </w:pPr>
      <w:r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  <w:t xml:space="preserve">LISTA DE SEGUIMIENTO DE INCUMPLIMIENTOS DE LA </w:t>
      </w:r>
      <w:r w:rsidR="00191328"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  <w:t>INGENIERÍA DE DETALLE DEL PROYECTO NUEVO O MODIFICADO DE EXPLORACIÓN O EXTRACCIÓN</w:t>
      </w:r>
    </w:p>
    <w:p w14:paraId="34E9B181" w14:textId="4B560E89" w:rsidR="00EF105A" w:rsidRDefault="00EF105A" w:rsidP="00EF105A">
      <w:pPr>
        <w:pStyle w:val="texto"/>
        <w:ind w:firstLine="0"/>
        <w:rPr>
          <w:rFonts w:ascii="Soberana Sans Light" w:hAnsi="Soberana Sans Light" w:cs="Arial"/>
          <w:color w:val="000000"/>
          <w:szCs w:val="18"/>
          <w:lang w:eastAsia="es-MX"/>
        </w:rPr>
      </w:pPr>
      <w:r>
        <w:rPr>
          <w:rFonts w:ascii="Soberana Sans Light" w:hAnsi="Soberana Sans Light" w:cs="Arial"/>
          <w:noProof/>
          <w:szCs w:val="18"/>
          <w:lang w:eastAsia="es-MX"/>
        </w:rPr>
        <w:t xml:space="preserve">De conformidad con lo señalado </w:t>
      </w:r>
      <w:r w:rsidR="004C44D7">
        <w:rPr>
          <w:rFonts w:ascii="Soberana Sans Light" w:hAnsi="Soberana Sans Light" w:cs="Arial"/>
          <w:color w:val="2F2F2F"/>
          <w:szCs w:val="18"/>
          <w:lang w:eastAsia="es-MX"/>
        </w:rPr>
        <w:t>en el Programa de I</w:t>
      </w:r>
      <w:r>
        <w:rPr>
          <w:rFonts w:ascii="Soberana Sans Light" w:hAnsi="Soberana Sans Light" w:cs="Arial"/>
          <w:color w:val="2F2F2F"/>
          <w:szCs w:val="18"/>
          <w:lang w:eastAsia="es-MX"/>
        </w:rPr>
        <w:t xml:space="preserve">ncumplimientos de fecha </w:t>
      </w:r>
      <w:r>
        <w:rPr>
          <w:rFonts w:ascii="Soberana Sans Light" w:hAnsi="Soberana Sans Light" w:cs="Arial"/>
          <w:color w:val="2E74B5" w:themeColor="accent1" w:themeShade="BF"/>
          <w:szCs w:val="18"/>
          <w:lang w:eastAsia="es-MX"/>
        </w:rPr>
        <w:t>&lt;&lt;día/mes/año&gt;&gt;</w:t>
      </w:r>
      <w:r w:rsidR="00B51A84">
        <w:rPr>
          <w:rFonts w:ascii="Soberana Sans Light" w:hAnsi="Soberana Sans Light" w:cs="Arial"/>
          <w:color w:val="2F2F2F"/>
          <w:szCs w:val="18"/>
          <w:lang w:eastAsia="es-MX"/>
        </w:rPr>
        <w:t xml:space="preserve"> de las</w:t>
      </w:r>
      <w:r>
        <w:rPr>
          <w:rFonts w:ascii="Soberana Sans Light" w:hAnsi="Soberana Sans Light" w:cs="Arial"/>
          <w:color w:val="2F2F2F"/>
          <w:szCs w:val="18"/>
          <w:lang w:eastAsia="es-MX"/>
        </w:rPr>
        <w:t xml:space="preserve"> </w:t>
      </w:r>
      <w:r w:rsidR="00B51A84" w:rsidRPr="00420AC1">
        <w:rPr>
          <w:rFonts w:ascii="Soberana Sans Light" w:hAnsi="Soberana Sans Light" w:cs="Arial"/>
          <w:i/>
          <w:color w:val="2F2F2F"/>
          <w:szCs w:val="18"/>
          <w:lang w:eastAsia="es-MX"/>
        </w:rPr>
        <w:t xml:space="preserve">Disposiciones administrativas de carácter general que establecen los Lineamientos en materia de </w:t>
      </w:r>
      <w:r w:rsidR="00D44C85" w:rsidRPr="00D44C85">
        <w:rPr>
          <w:rFonts w:ascii="Soberana Sans Light" w:hAnsi="Soberana Sans Light" w:cs="Arial"/>
          <w:i/>
          <w:color w:val="2F2F2F"/>
          <w:szCs w:val="18"/>
          <w:lang w:eastAsia="es-MX"/>
        </w:rPr>
        <w:t>seguridad industrial, seguridad operativa y protección al medio ambiente para realizar las actividades de Exploración y Extracción de Hidrocarburos en Yacimientos No Convencionales en tierra</w:t>
      </w:r>
      <w:r w:rsidRPr="00D44C85">
        <w:rPr>
          <w:rFonts w:ascii="Soberana Sans Light" w:hAnsi="Soberana Sans Light" w:cs="Arial"/>
          <w:i/>
          <w:color w:val="2F2F2F"/>
          <w:szCs w:val="18"/>
          <w:lang w:eastAsia="es-MX"/>
        </w:rPr>
        <w:t>,</w:t>
      </w:r>
      <w:r>
        <w:rPr>
          <w:rFonts w:ascii="Soberana Sans Light" w:hAnsi="Soberana Sans Light" w:cs="Arial"/>
          <w:color w:val="2F2F2F"/>
          <w:szCs w:val="18"/>
          <w:lang w:eastAsia="es-MX"/>
        </w:rPr>
        <w:t xml:space="preserve"> manifiesto bajo protesta de decir verdad que, en mi calidad de Tercero Autorizado por la Agencia Nacional de Seguridad Industrial y de Protección al Medio Ambiente del Sector Hidrocarburos, procedí a realizar la </w:t>
      </w:r>
      <w:r>
        <w:rPr>
          <w:rFonts w:ascii="Soberana Sans Light" w:hAnsi="Soberana Sans Light" w:cs="Arial"/>
          <w:color w:val="2E74B5" w:themeColor="accent1" w:themeShade="BF"/>
          <w:szCs w:val="18"/>
          <w:lang w:eastAsia="es-MX"/>
        </w:rPr>
        <w:t>&lt;&lt;verificación documental&gt;&gt;</w:t>
      </w:r>
      <w:r>
        <w:rPr>
          <w:rFonts w:ascii="Soberana Sans Light" w:hAnsi="Soberana Sans Light" w:cs="Arial"/>
          <w:color w:val="2F2F2F"/>
          <w:szCs w:val="18"/>
          <w:lang w:eastAsia="es-MX"/>
        </w:rPr>
        <w:t xml:space="preserve"> de la </w:t>
      </w:r>
      <w:r w:rsidR="00D44C85">
        <w:rPr>
          <w:rFonts w:ascii="Soberana Sans Light" w:hAnsi="Soberana Sans Light" w:cs="Arial"/>
          <w:color w:val="2F2F2F"/>
          <w:szCs w:val="18"/>
          <w:lang w:eastAsia="es-MX"/>
        </w:rPr>
        <w:t xml:space="preserve">Ingeniería de </w:t>
      </w:r>
      <w:r w:rsidR="00AF322B">
        <w:rPr>
          <w:rFonts w:ascii="Soberana Sans Light" w:hAnsi="Soberana Sans Light" w:cs="Arial"/>
          <w:color w:val="2F2F2F"/>
          <w:szCs w:val="18"/>
          <w:lang w:eastAsia="es-MX"/>
        </w:rPr>
        <w:t>detalle</w:t>
      </w:r>
      <w:r w:rsidR="00D44C85" w:rsidRPr="00662102">
        <w:rPr>
          <w:rFonts w:ascii="Soberana Sans Light" w:hAnsi="Soberana Sans Light" w:cs="Arial"/>
          <w:color w:val="2F2F2F"/>
          <w:szCs w:val="18"/>
          <w:lang w:eastAsia="es-MX"/>
        </w:rPr>
        <w:t xml:space="preserve"> correspondiente </w:t>
      </w:r>
      <w:r w:rsidR="005A5F22">
        <w:rPr>
          <w:rFonts w:ascii="Soberana Sans Light" w:hAnsi="Soberana Sans Light" w:cs="Arial"/>
          <w:szCs w:val="18"/>
          <w:lang w:eastAsia="es-MX"/>
        </w:rPr>
        <w:t>a</w:t>
      </w:r>
      <w:r w:rsidR="00191328">
        <w:rPr>
          <w:rFonts w:ascii="Soberana Sans Light" w:hAnsi="Soberana Sans Light" w:cs="Arial"/>
          <w:szCs w:val="18"/>
          <w:lang w:eastAsia="es-MX"/>
        </w:rPr>
        <w:t>l proyecto</w:t>
      </w:r>
      <w:r>
        <w:rPr>
          <w:rFonts w:ascii="Soberana Sans Light" w:hAnsi="Soberana Sans Light" w:cs="Arial"/>
          <w:szCs w:val="18"/>
          <w:lang w:eastAsia="es-MX"/>
        </w:rPr>
        <w:t xml:space="preserve"> </w:t>
      </w:r>
      <w:r w:rsidR="00191328">
        <w:rPr>
          <w:rFonts w:ascii="Soberana Sans Light" w:hAnsi="Soberana Sans Light" w:cs="Arial"/>
          <w:szCs w:val="18"/>
          <w:lang w:eastAsia="es-MX"/>
        </w:rPr>
        <w:t xml:space="preserve">de </w:t>
      </w:r>
      <w:r>
        <w:rPr>
          <w:rFonts w:ascii="Soberana Sans Light" w:hAnsi="Soberana Sans Light" w:cs="Arial"/>
          <w:szCs w:val="18"/>
          <w:lang w:eastAsia="es-MX"/>
        </w:rPr>
        <w:t xml:space="preserve">la instalación </w:t>
      </w:r>
      <w:r w:rsidR="00BE6247">
        <w:rPr>
          <w:rFonts w:ascii="Soberana Sans Light" w:hAnsi="Soberana Sans Light" w:cs="Arial"/>
          <w:color w:val="2F2F2F"/>
          <w:szCs w:val="18"/>
          <w:lang w:eastAsia="es-MX"/>
        </w:rPr>
        <w:t>denominado</w:t>
      </w:r>
      <w:r>
        <w:rPr>
          <w:rFonts w:ascii="Soberana Sans Light" w:hAnsi="Soberana Sans Light" w:cs="Arial"/>
          <w:color w:val="2F2F2F"/>
          <w:szCs w:val="18"/>
          <w:lang w:eastAsia="es-MX"/>
        </w:rPr>
        <w:t xml:space="preserve"> </w:t>
      </w:r>
      <w:r w:rsidR="00191328">
        <w:rPr>
          <w:rFonts w:ascii="Soberana Sans Light" w:hAnsi="Soberana Sans Light" w:cs="Arial"/>
          <w:bCs/>
          <w:color w:val="0070C0"/>
          <w:szCs w:val="18"/>
          <w:lang w:eastAsia="es-MX"/>
        </w:rPr>
        <w:t xml:space="preserve">&lt;&lt;nombre del proyecto de </w:t>
      </w:r>
      <w:r>
        <w:rPr>
          <w:rFonts w:ascii="Soberana Sans Light" w:hAnsi="Soberana Sans Light" w:cs="Arial"/>
          <w:bCs/>
          <w:color w:val="0070C0"/>
          <w:szCs w:val="18"/>
          <w:lang w:eastAsia="es-MX"/>
        </w:rPr>
        <w:t xml:space="preserve">instalación&gt;&gt;, </w:t>
      </w:r>
      <w:r>
        <w:rPr>
          <w:rFonts w:ascii="Soberana Sans Light" w:hAnsi="Soberana Sans Light" w:cs="Arial"/>
          <w:bCs/>
          <w:color w:val="000000"/>
          <w:szCs w:val="18"/>
          <w:lang w:eastAsia="es-MX"/>
        </w:rPr>
        <w:t>e</w:t>
      </w:r>
      <w:r>
        <w:rPr>
          <w:rFonts w:ascii="Soberana Sans Light" w:hAnsi="Soberana Sans Light" w:cs="Arial"/>
          <w:color w:val="2F2F2F"/>
          <w:szCs w:val="18"/>
          <w:lang w:eastAsia="es-MX"/>
        </w:rPr>
        <w:t xml:space="preserve">n lo relativo </w:t>
      </w:r>
      <w:r>
        <w:rPr>
          <w:rFonts w:ascii="Soberana Sans Light" w:hAnsi="Soberana Sans Light" w:cs="Arial"/>
          <w:szCs w:val="18"/>
          <w:lang w:eastAsia="es-MX"/>
        </w:rPr>
        <w:t>a</w:t>
      </w:r>
      <w:r>
        <w:rPr>
          <w:rFonts w:ascii="Soberana Sans Light" w:hAnsi="Soberana Sans Light" w:cs="Arial"/>
          <w:szCs w:val="18"/>
        </w:rPr>
        <w:t>l numeral</w:t>
      </w:r>
      <w:r w:rsidR="00B51A84">
        <w:rPr>
          <w:rFonts w:ascii="Soberana Sans Light" w:hAnsi="Soberana Sans Light" w:cs="Arial"/>
          <w:szCs w:val="18"/>
        </w:rPr>
        <w:t>/articulo</w:t>
      </w:r>
      <w:r>
        <w:rPr>
          <w:rFonts w:ascii="Soberana Sans Light" w:hAnsi="Soberana Sans Light" w:cs="Arial"/>
          <w:szCs w:val="18"/>
        </w:rPr>
        <w:t xml:space="preserve"> (es</w:t>
      </w:r>
      <w:r w:rsidR="00B51A84">
        <w:rPr>
          <w:rFonts w:ascii="Soberana Sans Light" w:hAnsi="Soberana Sans Light" w:cs="Arial"/>
          <w:szCs w:val="18"/>
        </w:rPr>
        <w:t>/s</w:t>
      </w:r>
      <w:r>
        <w:rPr>
          <w:rFonts w:ascii="Soberana Sans Light" w:hAnsi="Soberana Sans Light" w:cs="Arial"/>
          <w:szCs w:val="18"/>
        </w:rPr>
        <w:t xml:space="preserve">) </w:t>
      </w:r>
      <w:r>
        <w:rPr>
          <w:rFonts w:ascii="Soberana Sans Light" w:hAnsi="Soberana Sans Light" w:cs="Arial"/>
          <w:color w:val="2E74B5" w:themeColor="accent1" w:themeShade="BF"/>
          <w:szCs w:val="18"/>
          <w:lang w:eastAsia="es-MX"/>
        </w:rPr>
        <w:t>&lt;&lt;colocar los numerales</w:t>
      </w:r>
      <w:r w:rsidR="00B51A84">
        <w:rPr>
          <w:rFonts w:ascii="Soberana Sans Light" w:hAnsi="Soberana Sans Light" w:cs="Arial"/>
          <w:color w:val="2E74B5" w:themeColor="accent1" w:themeShade="BF"/>
          <w:szCs w:val="18"/>
          <w:lang w:eastAsia="es-MX"/>
        </w:rPr>
        <w:t>/</w:t>
      </w:r>
      <w:r w:rsidR="000245D3">
        <w:rPr>
          <w:rFonts w:ascii="Soberana Sans Light" w:hAnsi="Soberana Sans Light" w:cs="Arial"/>
          <w:color w:val="2E74B5" w:themeColor="accent1" w:themeShade="BF"/>
          <w:szCs w:val="18"/>
          <w:lang w:eastAsia="es-MX"/>
        </w:rPr>
        <w:t>artículos</w:t>
      </w:r>
      <w:r>
        <w:rPr>
          <w:rFonts w:ascii="Soberana Sans Light" w:hAnsi="Soberana Sans Light" w:cs="Arial"/>
          <w:color w:val="2E74B5" w:themeColor="accent1" w:themeShade="BF"/>
          <w:szCs w:val="18"/>
          <w:lang w:eastAsia="es-MX"/>
        </w:rPr>
        <w:t xml:space="preserve"> incumplidos&gt;&gt;</w:t>
      </w:r>
      <w:r>
        <w:rPr>
          <w:rFonts w:ascii="Soberana Sans Light" w:hAnsi="Soberana Sans Light" w:cs="Arial"/>
          <w:szCs w:val="18"/>
        </w:rPr>
        <w:t xml:space="preserve"> ,</w:t>
      </w:r>
      <w:r>
        <w:rPr>
          <w:rFonts w:ascii="Soberana Sans Light" w:hAnsi="Soberana Sans Light" w:cs="Arial"/>
          <w:color w:val="2E74B5" w:themeColor="accent1" w:themeShade="BF"/>
          <w:szCs w:val="18"/>
        </w:rPr>
        <w:t xml:space="preserve"> </w:t>
      </w:r>
      <w:r>
        <w:rPr>
          <w:rFonts w:ascii="Soberana Sans Light" w:hAnsi="Soberana Sans Light" w:cs="Arial"/>
          <w:color w:val="000000"/>
          <w:szCs w:val="18"/>
          <w:lang w:eastAsia="es-MX"/>
        </w:rPr>
        <w:t>obteniendo los siguientes resultados:</w:t>
      </w:r>
    </w:p>
    <w:tbl>
      <w:tblPr>
        <w:tblW w:w="9918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850"/>
        <w:gridCol w:w="2993"/>
        <w:gridCol w:w="1134"/>
        <w:gridCol w:w="666"/>
        <w:gridCol w:w="626"/>
        <w:gridCol w:w="646"/>
        <w:gridCol w:w="986"/>
        <w:gridCol w:w="1569"/>
      </w:tblGrid>
      <w:tr w:rsidR="005A5F22" w:rsidRPr="004F0A0F" w14:paraId="0AB75752" w14:textId="77777777" w:rsidTr="005A5F22">
        <w:trPr>
          <w:trHeight w:val="244"/>
          <w:tblHeader/>
        </w:trPr>
        <w:tc>
          <w:tcPr>
            <w:tcW w:w="448" w:type="dxa"/>
            <w:vMerge w:val="restart"/>
            <w:shd w:val="clear" w:color="auto" w:fill="D9D9D9"/>
            <w:vAlign w:val="center"/>
          </w:tcPr>
          <w:p w14:paraId="11C255E6" w14:textId="77777777" w:rsidR="005A5F22" w:rsidRPr="006E3C56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850" w:type="dxa"/>
            <w:vMerge w:val="restart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661CAA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Artículo de referencia</w:t>
            </w:r>
          </w:p>
        </w:tc>
        <w:tc>
          <w:tcPr>
            <w:tcW w:w="2993" w:type="dxa"/>
            <w:vMerge w:val="restart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6683DE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Requisito</w:t>
            </w:r>
            <w:r w:rsidRPr="00CA2F04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la DACG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EDDBAE2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A2F04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Tipo de verificación</w:t>
            </w:r>
          </w:p>
        </w:tc>
        <w:tc>
          <w:tcPr>
            <w:tcW w:w="1938" w:type="dxa"/>
            <w:gridSpan w:val="3"/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5744C5" w14:textId="77777777" w:rsidR="005A5F22" w:rsidRPr="007F3872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3872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Resultado</w:t>
            </w:r>
          </w:p>
        </w:tc>
        <w:tc>
          <w:tcPr>
            <w:tcW w:w="986" w:type="dxa"/>
            <w:vMerge w:val="restart"/>
            <w:shd w:val="clear" w:color="auto" w:fill="D9D9D9"/>
            <w:vAlign w:val="center"/>
          </w:tcPr>
          <w:p w14:paraId="1DF61D26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A591B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Referencia de la Evidencia de soporte</w:t>
            </w:r>
          </w:p>
        </w:tc>
        <w:tc>
          <w:tcPr>
            <w:tcW w:w="1569" w:type="dxa"/>
            <w:vMerge w:val="restart"/>
            <w:shd w:val="clear" w:color="auto" w:fill="D9D9D9"/>
            <w:vAlign w:val="center"/>
          </w:tcPr>
          <w:p w14:paraId="05C8FDA5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5A5F22" w:rsidRPr="004F0A0F" w14:paraId="53B24508" w14:textId="77777777" w:rsidTr="005A5F22">
        <w:trPr>
          <w:trHeight w:val="220"/>
          <w:tblHeader/>
        </w:trPr>
        <w:tc>
          <w:tcPr>
            <w:tcW w:w="448" w:type="dxa"/>
            <w:vMerge/>
            <w:shd w:val="clear" w:color="auto" w:fill="D9D9D9"/>
            <w:vAlign w:val="center"/>
          </w:tcPr>
          <w:p w14:paraId="369D96FE" w14:textId="77777777" w:rsidR="005A5F22" w:rsidRPr="006E3C56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B65C9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93" w:type="dxa"/>
            <w:vMerge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0A4620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7E31017A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gridSpan w:val="2"/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12ACF1" w14:textId="77777777" w:rsidR="005A5F22" w:rsidRPr="007F3872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Cumple</w:t>
            </w:r>
          </w:p>
        </w:tc>
        <w:tc>
          <w:tcPr>
            <w:tcW w:w="646" w:type="dxa"/>
            <w:vMerge w:val="restart"/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816AB3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A2F04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No</w:t>
            </w: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A2F04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986" w:type="dxa"/>
            <w:vMerge/>
            <w:shd w:val="clear" w:color="auto" w:fill="D9D9D9"/>
            <w:vAlign w:val="center"/>
          </w:tcPr>
          <w:p w14:paraId="2BE72401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9" w:type="dxa"/>
            <w:vMerge/>
            <w:shd w:val="clear" w:color="auto" w:fill="D9D9D9"/>
            <w:vAlign w:val="center"/>
          </w:tcPr>
          <w:p w14:paraId="5D5CFF12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A5F22" w:rsidRPr="004F0A0F" w14:paraId="35E6633E" w14:textId="77777777" w:rsidTr="005A5F22">
        <w:trPr>
          <w:trHeight w:val="96"/>
          <w:tblHeader/>
        </w:trPr>
        <w:tc>
          <w:tcPr>
            <w:tcW w:w="448" w:type="dxa"/>
            <w:vMerge/>
            <w:shd w:val="clear" w:color="auto" w:fill="D9D9D9"/>
            <w:vAlign w:val="center"/>
          </w:tcPr>
          <w:p w14:paraId="790F2888" w14:textId="77777777" w:rsidR="005A5F22" w:rsidRPr="006E3C56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92E76F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93" w:type="dxa"/>
            <w:vMerge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C57B3E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15E545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0969B3" w14:textId="77777777" w:rsidR="005A5F22" w:rsidRPr="00CA2F04" w:rsidRDefault="005A5F22" w:rsidP="005A5F22">
            <w:pPr>
              <w:spacing w:after="20" w:line="240" w:lineRule="auto"/>
              <w:ind w:left="-117" w:right="-66"/>
              <w:jc w:val="center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128C582" w14:textId="77777777" w:rsidR="005A5F22" w:rsidRPr="007F3872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3872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646" w:type="dxa"/>
            <w:vMerge/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2DB8A9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strike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6" w:type="dxa"/>
            <w:vMerge/>
            <w:shd w:val="clear" w:color="auto" w:fill="D9D9D9"/>
            <w:vAlign w:val="center"/>
          </w:tcPr>
          <w:p w14:paraId="3911FA39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9" w:type="dxa"/>
            <w:vMerge/>
            <w:shd w:val="clear" w:color="auto" w:fill="D9D9D9"/>
            <w:vAlign w:val="center"/>
          </w:tcPr>
          <w:p w14:paraId="01B91EFC" w14:textId="77777777" w:rsidR="005A5F22" w:rsidRPr="00CA2F04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A5F22" w:rsidRPr="004F0A0F" w14:paraId="5A27906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27A161E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AF7084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7C35D8" w14:textId="77777777" w:rsidR="005A5F22" w:rsidRPr="00D024D8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</w:t>
            </w:r>
            <w:r w:rsidRPr="00D024D8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present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ó</w:t>
            </w:r>
            <w:r w:rsidRPr="00D024D8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 la Agencia, cuarenta y cinco días hábiles previos al inicio de cualquier actividad, el Dictamen Técnico emitido por un Ter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cero Autorizado en el que conste</w:t>
            </w:r>
            <w:r w:rsidRPr="00D024D8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que la ingeniería de detalle de un Proyecto nuevo o modificado de Exploración o Extracción, es acorde con la normatividad apl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icable y las mejores prácticas?</w:t>
            </w:r>
          </w:p>
        </w:tc>
        <w:tc>
          <w:tcPr>
            <w:tcW w:w="1134" w:type="dxa"/>
            <w:shd w:val="clear" w:color="auto" w:fill="FFFFFF"/>
          </w:tcPr>
          <w:p w14:paraId="692A7AA8" w14:textId="77777777" w:rsidR="005A5F22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B0668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3595D2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573F1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C1B34D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AC7B2E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F0574D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ADC8222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7938B4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812FE1" w14:textId="77777777" w:rsidR="005A5F22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D024D8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Para el caso de diseño de Pozos,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</w:t>
            </w:r>
            <w:r w:rsidRPr="00D024D8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024D8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present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ó junto con el dictamen técnico,</w:t>
            </w:r>
            <w:r w:rsidRPr="00D024D8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copia simple de la autorización de Perforación emitida por la Comisión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00168017" w14:textId="77777777" w:rsidR="005A5F22" w:rsidRDefault="005A5F22" w:rsidP="005A5F22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3CB26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595985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018D8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19F6B0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BD9D67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9F145DB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F610FC3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A67EA2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55020A" w14:textId="77777777" w:rsidR="005A5F22" w:rsidRPr="004F0A0F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Para actividades de Perforación de Pozos, el Dictamen Técnico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¿contiene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verificación de que el Diseño de Pozos y el Programa de Perforación presentados por el Regulado a la Comisión, guard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 consistencia con la normatividad en materia de Seguridad Industrial, Seguridad Operativa y protección al medio ambie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nte establecida por la Agencia?</w:t>
            </w:r>
          </w:p>
        </w:tc>
        <w:tc>
          <w:tcPr>
            <w:tcW w:w="1134" w:type="dxa"/>
            <w:shd w:val="clear" w:color="auto" w:fill="FFFFFF"/>
          </w:tcPr>
          <w:p w14:paraId="4F3C16C5" w14:textId="77777777" w:rsidR="005A5F22" w:rsidRDefault="005A5F22" w:rsidP="005A5F22">
            <w:pPr>
              <w:jc w:val="center"/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4254F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EC15F1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68EDE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37AE7B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D1857E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54D409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811D5F2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F499AA1" w14:textId="77777777" w:rsidR="005A5F22" w:rsidRPr="00B5013B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B5013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BDD3AE" w14:textId="77777777" w:rsidR="005A5F22" w:rsidRPr="001409C3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Para actividades de Perforación de Pozos,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 Dictamen Técnico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 presentó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como parte del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Aviso de Inicio de Actividades?</w:t>
            </w:r>
          </w:p>
        </w:tc>
        <w:tc>
          <w:tcPr>
            <w:tcW w:w="1134" w:type="dxa"/>
            <w:shd w:val="clear" w:color="auto" w:fill="FFFFFF"/>
          </w:tcPr>
          <w:p w14:paraId="2E6E6EBD" w14:textId="77777777" w:rsidR="005A5F22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9B08C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FAD668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4342E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169728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55C69A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43C8F3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FB3F1C4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4ED149" w14:textId="77777777" w:rsidR="005A5F22" w:rsidRPr="00B5013B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B5013B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BF9246" w14:textId="77777777" w:rsidR="005A5F22" w:rsidRPr="004F0A0F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En el caso que los Regulados utilicen prácticas operativas o estándares equivalentes o superiores a los mencionados en el Anexo I de los presentes lineamientos,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incluye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en el Aviso de Inicio de Actividades, una evaluación comparativa de las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prácticas operativas y estándares propuestos contra los obligatorios, y la documentación de soporte correspondiente que demuestre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su equivalencia o superioridad?</w:t>
            </w:r>
          </w:p>
        </w:tc>
        <w:tc>
          <w:tcPr>
            <w:tcW w:w="1134" w:type="dxa"/>
            <w:shd w:val="clear" w:color="auto" w:fill="FFFFFF"/>
          </w:tcPr>
          <w:p w14:paraId="4F5B361C" w14:textId="77777777" w:rsidR="005A5F22" w:rsidRDefault="005A5F22" w:rsidP="005A5F22">
            <w:pPr>
              <w:jc w:val="center"/>
            </w:pPr>
            <w:r w:rsidRPr="00287A5C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37B03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8709C0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1E953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74FC65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569" w:type="dxa"/>
            <w:vAlign w:val="center"/>
          </w:tcPr>
          <w:p w14:paraId="1A798DA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997E19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24F36BA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F3602E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BD79AF" w14:textId="77777777" w:rsidR="005A5F22" w:rsidRPr="004F0A0F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Aviso de Inicio de Actividades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¿incluyó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listado de aditivos a emplear para la formulación de los Fluidos </w:t>
            </w:r>
            <w:proofErr w:type="spellStart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Fracturantes</w:t>
            </w:r>
            <w:proofErr w:type="spellEnd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en el </w:t>
            </w:r>
            <w:proofErr w:type="spellStart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Hidráulico del Yacimiento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51F21886" w14:textId="77777777" w:rsidR="005A5F22" w:rsidRDefault="005A5F22" w:rsidP="005A5F22">
            <w:pPr>
              <w:jc w:val="center"/>
            </w:pPr>
            <w:r w:rsidRPr="00287A5C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A3A08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352185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7C650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23D53F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5CB76C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3A14D1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2B74F06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5F973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38BA2C" w14:textId="77777777" w:rsidR="005A5F22" w:rsidRPr="001409C3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incluyen las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hojas de datos de seguridad de acuerdo a la normatividad vigente y su porcentaje en peso en el Fluido </w:t>
            </w:r>
            <w:proofErr w:type="spellStart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Fracturante</w:t>
            </w:r>
            <w:proofErr w:type="spellEnd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364B15CF" w14:textId="77777777" w:rsidR="005A5F22" w:rsidRPr="00287A5C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287A5C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90684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3FD9A4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15577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4C91B6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22C96C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1F41C73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E188FA2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4AE695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7CCCD3" w14:textId="77777777" w:rsidR="005A5F22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listado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 mantiene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actualizado y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se presentó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sola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una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vez cuando se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utilizaron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los mismos aditivos en la formulación del Fluido </w:t>
            </w:r>
            <w:proofErr w:type="spellStart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Fracturante</w:t>
            </w:r>
            <w:proofErr w:type="spellEnd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para los distin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tos Pozos a perforar o terminar?</w:t>
            </w:r>
          </w:p>
        </w:tc>
        <w:tc>
          <w:tcPr>
            <w:tcW w:w="1134" w:type="dxa"/>
            <w:shd w:val="clear" w:color="auto" w:fill="FFFFFF"/>
          </w:tcPr>
          <w:p w14:paraId="69CAADAA" w14:textId="77777777" w:rsidR="005A5F22" w:rsidRPr="00287A5C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287A5C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754BF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1F1251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27D63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250E78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4CFC63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EF7D6F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CF433E7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7813B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9A0602" w14:textId="77777777" w:rsidR="005A5F22" w:rsidRPr="001409C3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incluyó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volumen total 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utilizar del Fluido </w:t>
            </w:r>
            <w:proofErr w:type="spellStart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Fracturante</w:t>
            </w:r>
            <w:proofErr w:type="spellEnd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3BE57E73" w14:textId="77777777" w:rsidR="005A5F22" w:rsidRPr="00287A5C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287A5C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30E83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548F85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6C1FB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E09577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76E567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7A03DA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4FEA35C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CDF442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208149" w14:textId="77777777" w:rsidR="005A5F22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Los Regulados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¿documentan y presentan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 la Agencia, en el Aviso de Inicio de Actividades, la documentación sobre el diseño de los equipos de seguridad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de prevención de contaminación?</w:t>
            </w:r>
          </w:p>
        </w:tc>
        <w:tc>
          <w:tcPr>
            <w:tcW w:w="1134" w:type="dxa"/>
            <w:shd w:val="clear" w:color="auto" w:fill="FFFFFF"/>
          </w:tcPr>
          <w:p w14:paraId="710CAA47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ED610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6B101E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A3782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D462E1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862F6BA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BA864C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968E6F0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70476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70E9F4" w14:textId="77777777" w:rsidR="005A5F22" w:rsidRPr="004E1380" w:rsidRDefault="005A5F22" w:rsidP="005A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La Perforación de los Pozos, localizaciones y vías de acceso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realizan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con la menor 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fectación del área superficial?</w:t>
            </w:r>
          </w:p>
        </w:tc>
        <w:tc>
          <w:tcPr>
            <w:tcW w:w="1134" w:type="dxa"/>
            <w:shd w:val="clear" w:color="auto" w:fill="FFFFFF"/>
          </w:tcPr>
          <w:p w14:paraId="74CC08CF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7ADED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EC4B34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1D9ED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A62F92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1FDAB7A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3F5085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62DF649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4E34DF" w14:textId="77777777" w:rsidR="005A5F22" w:rsidRPr="00B5013B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B5013B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4F2DA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La Perforación de los Pozos, localizaciones y vías de acceso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realizan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aprovechando la Infraestructura y cuadros de maniobras pre-existentes, siempre y cuando sea técnicamente factible y se cumplan las condiciones de Seguridad Industrial y Seguridad Operativa necesarias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5B96FC97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650B0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16564D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DA364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36198D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2312F6B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7FAFAF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A4ED896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D7D58B" w14:textId="77777777" w:rsidR="005A5F22" w:rsidRPr="00B5013B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B5013B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283AA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 la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Perforación de los Pozos, localizaciones y vías de acceso,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tomaron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en cuenta los resultados del Análisis de Riesgos desarrollado para la autorización de su Sistema de Administración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0E5E9D3E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C30A1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B66375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67016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9AD371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5264391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ED0012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27A1DFC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1DD20FD" w14:textId="77777777" w:rsidR="005A5F22" w:rsidRPr="00847290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B5013B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477EF2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construyeron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mayor número de Pozos técnicamente posible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dentro de la misma localización?</w:t>
            </w:r>
          </w:p>
        </w:tc>
        <w:tc>
          <w:tcPr>
            <w:tcW w:w="1134" w:type="dxa"/>
            <w:shd w:val="clear" w:color="auto" w:fill="FFFFFF"/>
          </w:tcPr>
          <w:p w14:paraId="00DDFF7B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9EC50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8F8C7D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16D6C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639493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EBA5EB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0AA2C2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CC9D079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4F837C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73D123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selección del sitio de Perforación,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afect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ó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Áreas Ambientalmente Sensibles,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corrientes perennes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ó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cuerpos de agua, núcleos de población cercanos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342B022F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FF901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747224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FB2E4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52A1E0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BCE9EAD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5776E3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B6D0E84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1D2ADD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63699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selección del sitio de Perforación,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tomaron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como base los resultados del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Análisis de Riesgos desarrollado para la autorización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 su Sistema de Administración?</w:t>
            </w:r>
          </w:p>
        </w:tc>
        <w:tc>
          <w:tcPr>
            <w:tcW w:w="1134" w:type="dxa"/>
            <w:shd w:val="clear" w:color="auto" w:fill="FFFFFF"/>
          </w:tcPr>
          <w:p w14:paraId="02D7B6CE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8CBF9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A9F245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42846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0DD8ED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EBD0BB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01F188E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1CCA5D9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035C8F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02B4EA" w14:textId="77777777" w:rsidR="005A5F22" w:rsidRPr="00604E2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generaron </w:t>
            </w:r>
            <w:r w:rsidRPr="00604E2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flu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idos o recortes de Perforación?</w:t>
            </w:r>
          </w:p>
        </w:tc>
        <w:tc>
          <w:tcPr>
            <w:tcW w:w="1134" w:type="dxa"/>
            <w:shd w:val="clear" w:color="auto" w:fill="FFFFFF"/>
          </w:tcPr>
          <w:p w14:paraId="39E33C1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860CD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AA7419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8BFB2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E2EAAC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F59B91B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5EF5EF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3FDA79A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13724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13AB2A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construyeron o habilitaron</w:t>
            </w:r>
            <w:r w:rsidRPr="00604E2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presas de terracería para el almacenamiento, tratamiento o disposición de flu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idos o recortes de Perforación?</w:t>
            </w:r>
          </w:p>
        </w:tc>
        <w:tc>
          <w:tcPr>
            <w:tcW w:w="1134" w:type="dxa"/>
            <w:shd w:val="clear" w:color="auto" w:fill="FFFFFF"/>
          </w:tcPr>
          <w:p w14:paraId="4B9A4BE4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5E374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E7C7E2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FFAD3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3A6545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EFEF45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2579866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B1A91D4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594E08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133E7B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Para fluidos o recortes de perforación </w:t>
            </w:r>
          </w:p>
          <w:p w14:paraId="5350C9A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utilizaron </w:t>
            </w:r>
            <w:r w:rsidRPr="00604E2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contenedores portátiles cerrados que garanti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zaron</w:t>
            </w:r>
            <w:r w:rsidRPr="00604E2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contención de los fluidos o residuos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  <w:p w14:paraId="5D54E4C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instalaron</w:t>
            </w:r>
            <w:r w:rsidRPr="00604E2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Barreras físicas que permit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ieron</w:t>
            </w:r>
            <w:r w:rsidRPr="00604E2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contener posibles fugas o derrames e impid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ieron</w:t>
            </w:r>
            <w:r w:rsidRPr="00604E2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contaminación del suelo, de la zona no saturada, de cuerpos de ag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ua superficiales y de Acuíferos?</w:t>
            </w:r>
          </w:p>
          <w:p w14:paraId="1CD8BF3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  <w:p w14:paraId="422B970A" w14:textId="77777777" w:rsidR="005A5F22" w:rsidRPr="00604E2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Especifique</w:t>
            </w:r>
          </w:p>
        </w:tc>
        <w:tc>
          <w:tcPr>
            <w:tcW w:w="1134" w:type="dxa"/>
            <w:shd w:val="clear" w:color="auto" w:fill="FFFFFF"/>
          </w:tcPr>
          <w:p w14:paraId="1D4E251D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F2922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9DD494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51906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91D5DD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6A5D13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D5D237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57E5918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2CD7F8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660E4D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llevó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 cabo la planeación para determinar los medios para trasladar el equipo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Perforación?</w:t>
            </w:r>
          </w:p>
        </w:tc>
        <w:tc>
          <w:tcPr>
            <w:tcW w:w="1134" w:type="dxa"/>
            <w:shd w:val="clear" w:color="auto" w:fill="FFFFFF"/>
          </w:tcPr>
          <w:p w14:paraId="603F653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1A75C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126014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0AF50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167D6C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7A76F1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CB4885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927485A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0F8BB8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7008C2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La movilización e instalación de equipos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de perforación ¿cumplió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con los mecanismos establecidos en el Sistema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Administra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ción autorizado por la Agencia?</w:t>
            </w:r>
          </w:p>
        </w:tc>
        <w:tc>
          <w:tcPr>
            <w:tcW w:w="1134" w:type="dxa"/>
            <w:shd w:val="clear" w:color="auto" w:fill="FFFFFF"/>
          </w:tcPr>
          <w:p w14:paraId="030CB826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0129B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9AA869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F9F3F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910616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474B79A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83F55A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4DEE23E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9A5BBC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29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BE14C4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plan de traslado del equipo de Perforación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¿contiene u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n análisis de ruta donde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 incluyeron y consideraron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las posibles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afectaciones a los equipos y las dificultades en el transporte sin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importar que sean físicas o naturales de acuerdo al entorn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 donde se realice la operación?</w:t>
            </w:r>
          </w:p>
        </w:tc>
        <w:tc>
          <w:tcPr>
            <w:tcW w:w="1134" w:type="dxa"/>
            <w:shd w:val="clear" w:color="auto" w:fill="FFFFFF"/>
          </w:tcPr>
          <w:p w14:paraId="202F5209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6AEAE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AC26C4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C0706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4A5EBE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C56C7E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0BEA61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0C61A86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F45042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29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B7DC0D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plan de traslado del equipo de Perforación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¿contiene e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vitar los traslados bajo condiciones climatológicas adversas y cuando la visibilidad se reduzca a menos de cien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metros?</w:t>
            </w:r>
          </w:p>
        </w:tc>
        <w:tc>
          <w:tcPr>
            <w:tcW w:w="1134" w:type="dxa"/>
            <w:shd w:val="clear" w:color="auto" w:fill="FFFFFF"/>
          </w:tcPr>
          <w:p w14:paraId="5D81C419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4CEA1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FBC791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7E95A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F3F7B1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161D1E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644744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CF6C761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4B93DA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29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73F433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plan de traslado del equipo de Perforación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¿contiene a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dministrar el movimiento de unidades en las áreas donde desarrollarán las actividades de Exploración y Extracción de Hidrocarburos, para reducir los impactos ambientales tales como el ruido, la vibración, generación de polvo y/o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movimiento vehicular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736C38D8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CD9B0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FC1060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11140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939661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A0D961C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7735807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B2DCC43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7022BF0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5C6AEF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mant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iene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Integridad Mecánica de las Instalaciones empleadas de acuerdo a los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mecanismos establecidos en el Sistema de Administr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ación autorizado por la Agencia?</w:t>
            </w:r>
          </w:p>
        </w:tc>
        <w:tc>
          <w:tcPr>
            <w:tcW w:w="1134" w:type="dxa"/>
            <w:shd w:val="clear" w:color="auto" w:fill="FFFFFF"/>
          </w:tcPr>
          <w:p w14:paraId="097F1703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A28CC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60095F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85605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ACD09D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6FF9E9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3493EA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F04CA3B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CEEA10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F63D3B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Regulado verifica la Integridad Mecánica de sus Instalaciones, en las etapas de construcción, </w:t>
            </w:r>
            <w:proofErr w:type="spellStart"/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prearranque</w:t>
            </w:r>
            <w:proofErr w:type="spellEnd"/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operación, mantenimiento, Cierre y Abandono utilizadas para la Exploración y Extracción de Hidrocarburos en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Yacimientos No Convencional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es?</w:t>
            </w:r>
          </w:p>
        </w:tc>
        <w:tc>
          <w:tcPr>
            <w:tcW w:w="1134" w:type="dxa"/>
            <w:shd w:val="clear" w:color="auto" w:fill="FFFFFF"/>
          </w:tcPr>
          <w:p w14:paraId="5A97DCF8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04FC7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D557FE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18764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97DF52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031D87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9A2E62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BF50062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1C6B2B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4839F8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inclu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ye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en el diseño, construcción y modificación de las Instalaciones todas las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condiciones y variables operativas, de acuerdo con las mejores prácticas y con lo establecido en su Sistema de Administración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autorizado por la Agencia?</w:t>
            </w:r>
          </w:p>
        </w:tc>
        <w:tc>
          <w:tcPr>
            <w:tcW w:w="1134" w:type="dxa"/>
            <w:shd w:val="clear" w:color="auto" w:fill="FFFFFF"/>
          </w:tcPr>
          <w:p w14:paraId="4FE4C7C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D0A0E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CB919E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22986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E3E05E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C746DB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95542F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964D8C9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CDD76B4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1FAF82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 instala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y opera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los equipos e Instalaciones conforme a los parámetros de diseño, las especificaciones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recomendaciones del fabricante,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así como con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las recomendaciones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derivadas del Análisis de Riesgos y lo establecido en el Sistema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Administr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ación autorizado por la Agencia?</w:t>
            </w:r>
          </w:p>
        </w:tc>
        <w:tc>
          <w:tcPr>
            <w:tcW w:w="1134" w:type="dxa"/>
            <w:shd w:val="clear" w:color="auto" w:fill="FFFFFF"/>
          </w:tcPr>
          <w:p w14:paraId="359CD91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40BFB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807951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EF636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BC459C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6B5038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27D36A1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6F6A6F1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F6F41A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362577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 emplea Instalaciones diseñadas para soportar las condiciones operativas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climatológicas específicas de la zona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6A482DDB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140C6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22D20E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53915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8FB672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FB15E5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186074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8A57E1A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E38D74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33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B66519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¿Las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Instalaciones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están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diseñadas para soportar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o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peración de los equipos de acuerdo a lo descrito en las fichas técnicas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4B512E46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69042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BD0318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08726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8192D3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8E8440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B76F2DE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DD2D124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BAE267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33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05D17C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Para el diseño de las instalaciones que operen en condiciones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climatológicas específicas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tomó como elemento el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Programa de mantenimiento preventivo de las Instalaciones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0142555F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D1D06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4344C9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6C28D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168432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7E446A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A18224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D502111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114AB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6D0C08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 deberá conserva la información documental del diseño y la tecnología de proceso de las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Instalaciones, y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en su caso la presenta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cuando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ha sido requerida por la Agencia?</w:t>
            </w:r>
          </w:p>
        </w:tc>
        <w:tc>
          <w:tcPr>
            <w:tcW w:w="1134" w:type="dxa"/>
            <w:shd w:val="clear" w:color="auto" w:fill="FFFFFF"/>
          </w:tcPr>
          <w:p w14:paraId="72733A70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95C8F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24C38F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318E1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52574C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8FCECD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0112F3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AE78344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A3852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37B42F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implementa y mant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iene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un sistema de monitoreo que permita contar con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información sobre las operaciones de Perforación, Terminación, Prueba de Producción, mantenimiento, Taponamiento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Abandono de Pozos?</w:t>
            </w:r>
          </w:p>
        </w:tc>
        <w:tc>
          <w:tcPr>
            <w:tcW w:w="1134" w:type="dxa"/>
            <w:shd w:val="clear" w:color="auto" w:fill="FFFFFF"/>
          </w:tcPr>
          <w:p w14:paraId="1E083D7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2A3E7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8AB455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8F892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68D444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481511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6AEA82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E4CD94C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53918AA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35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742CB7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sistema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(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sin ser limitativo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)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permit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el monitoreo de información sobre Parámet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ros de operación de los equipos?</w:t>
            </w:r>
          </w:p>
        </w:tc>
        <w:tc>
          <w:tcPr>
            <w:tcW w:w="1134" w:type="dxa"/>
            <w:shd w:val="clear" w:color="auto" w:fill="FFFFFF"/>
          </w:tcPr>
          <w:p w14:paraId="45E4452B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3E508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EA4E11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5C7EE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57D69A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74B815D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FA2144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5749735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4D9C651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35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99C0DC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sistema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(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sin ser limitativo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)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permit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 activar en los equipos las a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lertas y alarmas de parámetros fuera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rango y estados de Emergencias?</w:t>
            </w:r>
          </w:p>
        </w:tc>
        <w:tc>
          <w:tcPr>
            <w:tcW w:w="1134" w:type="dxa"/>
            <w:shd w:val="clear" w:color="auto" w:fill="FFFFFF"/>
          </w:tcPr>
          <w:p w14:paraId="02886A9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6D5B2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C4EACA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42B78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7883BE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06F79D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8382A4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7F0EC90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B04B6B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35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4A327F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sistema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(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sin ser limitativo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)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permit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 el registro</w:t>
            </w:r>
            <w:r w:rsidRPr="00C9316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histórico de las condiciones operativas y alarmas registradas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577FF7E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55EA2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204AB7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32D12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08E34E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A90988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85F25C6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DBA4785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56AAD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35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E48E6A" w14:textId="77777777" w:rsidR="005A5F22" w:rsidRPr="00C9316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cuenta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un sistema secundario para la transferencia de información con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la finalidad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no perder comunicación sobre las operaciones que se estén des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arrollando en las Instalaciones?</w:t>
            </w:r>
          </w:p>
        </w:tc>
        <w:tc>
          <w:tcPr>
            <w:tcW w:w="1134" w:type="dxa"/>
            <w:shd w:val="clear" w:color="auto" w:fill="FFFFFF"/>
          </w:tcPr>
          <w:p w14:paraId="143834A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49A53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3541D0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EB4F0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A44323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5480E7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83E0A2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538E829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2F2E74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1615DF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Regulado ha implementado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un mecanismo de documentación en el cual las decisiones tomadas en las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operaciones no programadas se registren en una bitác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ora por el personal responsable?</w:t>
            </w:r>
          </w:p>
        </w:tc>
        <w:tc>
          <w:tcPr>
            <w:tcW w:w="1134" w:type="dxa"/>
            <w:shd w:val="clear" w:color="auto" w:fill="FFFFFF"/>
          </w:tcPr>
          <w:p w14:paraId="7E51DDE8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BAFB9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1521EA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6DD35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E527E9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DCE23B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6CAEBF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F18B471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CF1BF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7055BA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 conserva un registro histórico de las decisiones tomadas en las operaciones no programadas, para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cuando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le sea requerido por la Agencia?</w:t>
            </w:r>
          </w:p>
        </w:tc>
        <w:tc>
          <w:tcPr>
            <w:tcW w:w="1134" w:type="dxa"/>
            <w:shd w:val="clear" w:color="auto" w:fill="FFFFFF"/>
          </w:tcPr>
          <w:p w14:paraId="7D95A499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D86E4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A0C6F6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1A2D1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93FA19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92620F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1C0B99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1CBF6FF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8CF3CF4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62057B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Todas las Instalaciones de Extracción incluyendo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;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el árbol de válvulas, la bajante, el cabezal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prueba, los separadores bifásicos o trifásicos, los compresores, las líneas de descarga o ductos, módulos de quema, tanques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primera y segunda etapa de separación, bombas y módulos de inyección de gas,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diseñaron, instalaron y se mantienen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manera tal que se procur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Seguridad Industrial, la Seguridad Operativa y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 protección al medio ambiente?</w:t>
            </w:r>
          </w:p>
        </w:tc>
        <w:tc>
          <w:tcPr>
            <w:tcW w:w="1134" w:type="dxa"/>
            <w:shd w:val="clear" w:color="auto" w:fill="FFFFFF"/>
          </w:tcPr>
          <w:p w14:paraId="787909E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7EBA4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6BD0AB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4FD40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A87204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CEE6C61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EF696A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99D2629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CCDA4DF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3ADEC5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opera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las Instalaciones de Extracción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previo establecimiento de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límites seguros de operación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y condiciones estables de operación en sus procedimientos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45810AA7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826F6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0F887E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8184D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8D18B7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9DF1A0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D707D2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4FE2DCE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3006F7" w14:textId="77777777" w:rsidR="005A5F22" w:rsidRPr="003079D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B5013B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87DE03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opera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las Instalaciones de Extracción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previa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verifi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cación de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que las Instalaciones son seguras para operar en 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entorno en el que se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encuentran situadas?</w:t>
            </w:r>
          </w:p>
        </w:tc>
        <w:tc>
          <w:tcPr>
            <w:tcW w:w="1134" w:type="dxa"/>
            <w:shd w:val="clear" w:color="auto" w:fill="FFFFFF"/>
          </w:tcPr>
          <w:p w14:paraId="365D0058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E2EEF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4F70A2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4DFE8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F2AFC0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F146B9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AC8648B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F7D762B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2B09F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2B1BDC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ha establecido medidas que permite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 que las actividades relacionadas con el acondicionamiento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separación de Hidrocarburos se reali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cen de manera continua y segura?</w:t>
            </w:r>
          </w:p>
        </w:tc>
        <w:tc>
          <w:tcPr>
            <w:tcW w:w="1134" w:type="dxa"/>
            <w:shd w:val="clear" w:color="auto" w:fill="FFFFFF"/>
          </w:tcPr>
          <w:p w14:paraId="19D87E72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77A5B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61E4B0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323A8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8FCB3E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18E4A6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3316E3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4C62B9F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18447CE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C389E5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ha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establec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ido los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mecanismos y procedimientos para mantener la continuidad y confiabilidad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los p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rocesos operativos de los Pozos?</w:t>
            </w:r>
          </w:p>
        </w:tc>
        <w:tc>
          <w:tcPr>
            <w:tcW w:w="1134" w:type="dxa"/>
            <w:shd w:val="clear" w:color="auto" w:fill="FFFFFF"/>
          </w:tcPr>
          <w:p w14:paraId="2A8DEAC9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74FDA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032F6D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333D9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ECD996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082C0F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9B3440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A5E0D71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36A39C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2F5F4F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mantiene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vigentes los protocolos para el mantenimiento de la Integridad Mecánica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funcionamiento adecuado de las Instalaciones, incluyendo la realización de valoraciones periódicas de la Integridad Mecánica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las Instalaciones y la realización de trabajos correctiv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os en caso de daños o deterioro?</w:t>
            </w:r>
          </w:p>
        </w:tc>
        <w:tc>
          <w:tcPr>
            <w:tcW w:w="1134" w:type="dxa"/>
            <w:shd w:val="clear" w:color="auto" w:fill="FFFFFF"/>
          </w:tcPr>
          <w:p w14:paraId="1067FFB1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C8E04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551A9E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EF40F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D9CC88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2C564A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91391A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D46A62E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A61E50F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9D730D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Diseña y </w:t>
            </w:r>
            <w:proofErr w:type="spellStart"/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perfora</w:t>
            </w:r>
            <w:proofErr w:type="spellEnd"/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Pozos con al menos dos Bar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reras probadas e independientes?</w:t>
            </w:r>
          </w:p>
        </w:tc>
        <w:tc>
          <w:tcPr>
            <w:tcW w:w="1134" w:type="dxa"/>
            <w:shd w:val="clear" w:color="auto" w:fill="FFFFFF"/>
          </w:tcPr>
          <w:p w14:paraId="5B538433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03877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871ED5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AB63D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B22409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C15BD8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C22F4D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EC73EFB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C80D6F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1B82488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rotege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cuíferos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cuerpos de aguas superficiales?</w:t>
            </w:r>
          </w:p>
        </w:tc>
        <w:tc>
          <w:tcPr>
            <w:tcW w:w="1134" w:type="dxa"/>
            <w:shd w:val="clear" w:color="auto" w:fill="FFFFFF"/>
          </w:tcPr>
          <w:p w14:paraId="505E3AA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FC791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5BF886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E0D81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FCDFFB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CD896E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FCFDABB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416ACED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4F4C004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770A9C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cuenta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sistemas de control manual y automático en el equipo y cone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xiones superficiales de control?</w:t>
            </w:r>
          </w:p>
        </w:tc>
        <w:tc>
          <w:tcPr>
            <w:tcW w:w="1134" w:type="dxa"/>
            <w:shd w:val="clear" w:color="auto" w:fill="FFFFFF"/>
          </w:tcPr>
          <w:p w14:paraId="4DDEBC2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E4972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086B5F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FF8AA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8767B1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45DDC0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4A9E58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4070304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C0B641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IV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0B32DF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utiliza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fluidos de Perforación base agua en las primeras etapas de Perforación, las cuales comprenden las tuberías conductoras y de revestimiento sup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erficial?</w:t>
            </w:r>
          </w:p>
        </w:tc>
        <w:tc>
          <w:tcPr>
            <w:tcW w:w="1134" w:type="dxa"/>
            <w:shd w:val="clear" w:color="auto" w:fill="FFFFFF"/>
          </w:tcPr>
          <w:p w14:paraId="54AB8C8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3ABFB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CDA349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21300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63CFB1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C78E30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C6B543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4D61932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9167C2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465A17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iseña el programa de Perforación de tal manera que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los Acuíferos no se contaminen?</w:t>
            </w:r>
          </w:p>
        </w:tc>
        <w:tc>
          <w:tcPr>
            <w:tcW w:w="1134" w:type="dxa"/>
            <w:shd w:val="clear" w:color="auto" w:fill="FFFFFF"/>
          </w:tcPr>
          <w:p w14:paraId="3AFAEB50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22366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68ECFB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C24F7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C6FF28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DB824D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6E3A817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C8A3CF5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517CB0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VI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29452D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segurar que las Tuberías de Revestimiento cubran y aíslen todos los Acuíferos, que puedan emplearse para cualquier uso contemplado en la normatividad vigente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en materia de aguas nacionales?</w:t>
            </w:r>
          </w:p>
        </w:tc>
        <w:tc>
          <w:tcPr>
            <w:tcW w:w="1134" w:type="dxa"/>
            <w:shd w:val="clear" w:color="auto" w:fill="FFFFFF"/>
          </w:tcPr>
          <w:p w14:paraId="654FB5FF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05F1F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5218ED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729C3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EDF9AF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349879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09DACA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6B433FB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3ACB72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VII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9BB525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mplementa procedimientos para mitig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ar el Riesgo en la preparación,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acondicionamiento, uso, manejo y disposición final de los fluidos y materiales utilizados durante la Perforación, Pruebas de Producci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ón, Terminación, mantenimiento, Taponamiento y Abandono de Pozos?</w:t>
            </w:r>
          </w:p>
        </w:tc>
        <w:tc>
          <w:tcPr>
            <w:tcW w:w="1134" w:type="dxa"/>
            <w:shd w:val="clear" w:color="auto" w:fill="FFFFFF"/>
          </w:tcPr>
          <w:p w14:paraId="0C81396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8368D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05A3D8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F71EB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3620E9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3D5EAC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82F86F1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BF5C8B4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F217E28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VIII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F17311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ha demostrado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hermeticidad del segmento revestido y la adecuada cementación a través de pruebas de hermeticidad y registros de cementación, una vez cementadas las Tuberías de Revestimiento en cada una de las eta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pas planeadas o de contingencia?</w:t>
            </w:r>
          </w:p>
        </w:tc>
        <w:tc>
          <w:tcPr>
            <w:tcW w:w="1134" w:type="dxa"/>
            <w:shd w:val="clear" w:color="auto" w:fill="FFFFFF"/>
          </w:tcPr>
          <w:p w14:paraId="53D7FEEF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5BF3A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29F764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888FF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408470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C99ED3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63344C6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258AB8A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B9746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IX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B3276D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cuenta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las conexiones superficiales de control para las actividades específicas de Perforación, Pruebas de Producción, Terminación, mantenimiento, Taponamiento y Abandono de Pozos, conforme a las máximas condiciones de presión y temperatura de operación esperadas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32FC5E2F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B605E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00CED5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FA29E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A27449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F7F001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77ECBB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7E258A4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6F5708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IX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6AA460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en las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conexiones superficiales de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control incluye, entre otras, al cabezal de Pozo, el Conjunto de Preventores, el árbol de válvulas y las líneas estrangulamiento y circulación de fluidos y de control, entendiendo a estas últimas como las tuberías e interconexiones para operación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de los equipos mencionados?</w:t>
            </w:r>
          </w:p>
        </w:tc>
        <w:tc>
          <w:tcPr>
            <w:tcW w:w="1134" w:type="dxa"/>
            <w:shd w:val="clear" w:color="auto" w:fill="FFFFFF"/>
          </w:tcPr>
          <w:p w14:paraId="7130C1E0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8AA7C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052A13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FF3F1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724A1E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3643CD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338359E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65ADE03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703F68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41 Fracción X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155FEC" w14:textId="77777777" w:rsidR="005A5F22" w:rsidRPr="00F67E1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los trabajos referidos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</w:t>
            </w:r>
            <w:r w:rsidRPr="00F67E1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monitorea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, registra y controla las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misiones de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etano que pudieran derivar de algún fallo en las conexiones superficiales de control las tuberías e interconexiones para operación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de los equipos?</w:t>
            </w:r>
          </w:p>
        </w:tc>
        <w:tc>
          <w:tcPr>
            <w:tcW w:w="1134" w:type="dxa"/>
            <w:shd w:val="clear" w:color="auto" w:fill="FFFFFF"/>
          </w:tcPr>
          <w:p w14:paraId="450DDAA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89B3C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0C37A5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3A392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2AF27D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498566C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551AE26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E6DCAB7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5067991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72742A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tomar todas las medidas necesarias para aislar zonas potenciales de flujo durante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Perforación de Pozos, de conformidad con 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estándar API STD 65 - Parte 2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o un 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tándar equivalente o superior?</w:t>
            </w:r>
          </w:p>
        </w:tc>
        <w:tc>
          <w:tcPr>
            <w:tcW w:w="1134" w:type="dxa"/>
            <w:shd w:val="clear" w:color="auto" w:fill="FFFFFF"/>
          </w:tcPr>
          <w:p w14:paraId="35DF237C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6116A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3AFC16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9AEB4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A41B7D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637CA1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0EFE079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992CC10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AB36A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42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5BE73A" w14:textId="77777777" w:rsidR="005A5F22" w:rsidRPr="00E32A8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 aislar zonas potenciales de flujo durante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Perforación de Pozos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establece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b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arreras claramente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definidas para prevenir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 flujo descontrolado de Gas Natural al medio ambiente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4EC27802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82B9B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31ABAC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7B56D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DBEDF4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E878B1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5EB18F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D836A1B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8A7A14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42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7A3D29" w14:textId="77777777" w:rsidR="005A5F22" w:rsidRPr="00E32A8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 aislar zonas potenciales de flujo durante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Perforación de Pozos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establece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b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arreras claramente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definidas para prevenir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el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flujo cruzado entre formaciones adyacentes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28893D51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0203C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C588BD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FA868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508FDA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4F7EA7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EF1FCE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72ABDD5" w14:textId="77777777" w:rsidR="005A5F22" w:rsidRPr="007F387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DC1945B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42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654A31" w14:textId="77777777" w:rsidR="005A5F22" w:rsidRPr="00E32A8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 aislar zonas potenciales de flujo durante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Perforación de Pozos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establece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b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arreras claramente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definidas para prevenir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</w:t>
            </w:r>
            <w:r w:rsidRPr="0046535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contaminación de aguas subterráneas durante las operaciones de Perforación y cementación, las fases subsecuentes de producción y el Abandono del Pozo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66DBF943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F679C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DAA732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0F766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F3F31B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66294C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3C9319B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47FA0EE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4D85BA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102468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han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implementa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procedimientos y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se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uenta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los sistemas y equipos de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seguridad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necesarios para la detección y respuesta ante la presencia de gases combustibles y tóxicos, incluyendo sensores que puedan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detectar los gases mencionados?</w:t>
            </w:r>
          </w:p>
        </w:tc>
        <w:tc>
          <w:tcPr>
            <w:tcW w:w="1134" w:type="dxa"/>
            <w:shd w:val="clear" w:color="auto" w:fill="FFFFFF"/>
          </w:tcPr>
          <w:p w14:paraId="7251A316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EA861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02801F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DF5A9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8A3E74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2EC06A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3BBA8A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880CC77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30E42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AE3809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s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eleccion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ó y diseño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configuración del Conjunto de Preventores y equipos a utilizar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 el control de Pozos en las actividades de Exploración y Extracción de Hidrocarburos en Yacimientos No Convencionales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2CA89920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07190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A58B29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C7D41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81F9D7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FE9B46D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9811176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1417CEA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861CE9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4019F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cumpl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las mejores prácticas y estándares referidos en el Anexo I, o están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dares equivalentes o superiores?</w:t>
            </w:r>
          </w:p>
        </w:tc>
        <w:tc>
          <w:tcPr>
            <w:tcW w:w="1134" w:type="dxa"/>
            <w:shd w:val="clear" w:color="auto" w:fill="FFFFFF"/>
          </w:tcPr>
          <w:p w14:paraId="653072F7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B758F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ADC5FB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507F2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22A607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EC4A88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F0A08C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787C957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F43D08B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A4385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conserva la información documental del cumplimiento de las mejores prácticas para la selección y 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diseño del Conjunto de Preventores y equipos a utilizar para el control de Pozos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  <w:p w14:paraId="7212454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  <w:p w14:paraId="41F7E54B" w14:textId="77777777" w:rsidR="005A5F22" w:rsidRPr="00E32A8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han presentado cuando así lo ha requerido al Agencia?</w:t>
            </w:r>
          </w:p>
        </w:tc>
        <w:tc>
          <w:tcPr>
            <w:tcW w:w="1134" w:type="dxa"/>
            <w:shd w:val="clear" w:color="auto" w:fill="FFFFFF"/>
          </w:tcPr>
          <w:p w14:paraId="5E2452E0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8C330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78EF46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42F13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D2D27C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85C7BE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F68106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EFFE5F5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A25A0CE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96A62C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realiza pruebas a los Equipos Críticos identificados en su Análisis de Riesgos, en apego a lo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establecido en el Sistema de Administración autorizado por la Agencia, así como a las recomendaciones del fabricante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0E71CDB0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EC9B6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612765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51C83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57B723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BD9D90A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1E4CA0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64AFD7E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5EB80B9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B60AA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listado de equipos críticos incluye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Conjunto de Preventores y las conexiones superficiales de control de Pozos</w:t>
            </w:r>
          </w:p>
        </w:tc>
        <w:tc>
          <w:tcPr>
            <w:tcW w:w="1134" w:type="dxa"/>
            <w:shd w:val="clear" w:color="auto" w:fill="FFFFFF"/>
          </w:tcPr>
          <w:p w14:paraId="50C3938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FF098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81DE42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C5762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B53219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F3C931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76210C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126559D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AF4C5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45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116E03" w14:textId="77777777" w:rsidR="005A5F22" w:rsidRPr="006B4539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Las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pruebas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realizadas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 los Equipos Críticos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¿incluyen los </w:t>
            </w:r>
            <w:r w:rsidRPr="006B453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Protocolos de verificación del cierre y apertura de los sistemas de control de Pozos para confirmar la operación adecuada del Conjunto de Preventores y su hermet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icidad?</w:t>
            </w:r>
          </w:p>
        </w:tc>
        <w:tc>
          <w:tcPr>
            <w:tcW w:w="1134" w:type="dxa"/>
            <w:shd w:val="clear" w:color="auto" w:fill="FFFFFF"/>
          </w:tcPr>
          <w:p w14:paraId="2DB66E50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B2CB6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8320E2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56B36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02E700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08DB4E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7D3817E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82B9796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632CC9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45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B9E5F3" w14:textId="77777777" w:rsidR="005A5F22" w:rsidRPr="00E32A8E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Las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pruebas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realizadas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 los Equipos Críticos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¿incluyen las </w:t>
            </w:r>
            <w:r w:rsidRPr="006B453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Pruebas de presión de las </w:t>
            </w:r>
            <w:r w:rsidRPr="006B4539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conexiones su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perficiales de control de Pozos?</w:t>
            </w:r>
          </w:p>
        </w:tc>
        <w:tc>
          <w:tcPr>
            <w:tcW w:w="1134" w:type="dxa"/>
            <w:shd w:val="clear" w:color="auto" w:fill="FFFFFF"/>
          </w:tcPr>
          <w:p w14:paraId="74B7675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03E95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01C8BB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280F9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5EC061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AB1F36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761837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81BBF21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800E4F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B1C4D0" w14:textId="77777777" w:rsidR="005A5F22" w:rsidRDefault="005A5F22" w:rsidP="005A5F22">
            <w:pPr>
              <w:spacing w:after="20" w:line="240" w:lineRule="auto"/>
              <w:ind w:left="-45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regulado ha dictado que s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 alguna prueba de dichos Equipos Críticos indica que los mismos no están en estricto apego con lo dispuesto en el Sistema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 Administración autorizado, no se podrá reanudar o, en su caso, se tendrá que suspender la Perforación, Prueba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Producción, Estimulación o Abandono, hasta que el resultado obtenido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 la prueba sea satisfactorio?</w:t>
            </w:r>
          </w:p>
        </w:tc>
        <w:tc>
          <w:tcPr>
            <w:tcW w:w="1134" w:type="dxa"/>
            <w:shd w:val="clear" w:color="auto" w:fill="FFFFFF"/>
          </w:tcPr>
          <w:p w14:paraId="40D850C8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9FCDB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EA4B7A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2591E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C5A17E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754482C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1310F8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2FE6BDE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7CD720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55B84C" w14:textId="77777777" w:rsidR="005A5F22" w:rsidRPr="003F66CD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En caso de que haya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cualquier indicación de una fuga del fluido,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se investiga la causa, para reparar la fuga,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y se </w:t>
            </w:r>
            <w:r w:rsidRPr="00E32A8E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asegura la hermeticidad de las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conexiones?</w:t>
            </w:r>
          </w:p>
        </w:tc>
        <w:tc>
          <w:tcPr>
            <w:tcW w:w="1134" w:type="dxa"/>
            <w:shd w:val="clear" w:color="auto" w:fill="FFFFFF"/>
          </w:tcPr>
          <w:p w14:paraId="308C1500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0E6F3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9CDCFD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AA9DA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76E0A5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390B30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4D3A5E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22E5F4C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0AE6F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4B4B0D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mant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ienen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vigentes y disponibles, en caso de que la Agencia lo requiera, las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certificaciones del Conjunto de Preventores y Equipos Críticos, de acuerdo a lo establecido en las Disposiciones administrativas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 carácter general que establecen los Lineamientos para la conformación, implementación y autorización de los Sistemas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Administración de Seguridad Industrial, Seguridad Operativa y Protección al Medio Ambiente emitidas por la Agencia, o las que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las modifiquen o sustituyan, o en lo referente a Integridad Mecánica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y aseguramiento de la calidad?</w:t>
            </w:r>
          </w:p>
        </w:tc>
        <w:tc>
          <w:tcPr>
            <w:tcW w:w="1134" w:type="dxa"/>
            <w:shd w:val="clear" w:color="auto" w:fill="FFFFFF"/>
          </w:tcPr>
          <w:p w14:paraId="448B09EA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0827D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4ECD75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0E10F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FAD2D2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1A9A961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6211C7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690B3E9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52CA6F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2CE787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 asegurar su funcionamiento así como el control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del Pozo en las condiciones y máximas presiones esperadas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 Conjunto de Preventores y equipos a utilizar para el control de Pozos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diseña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ron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 instala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ron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se mantienen y se prueban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de acuerdo con las especificaciones del fabricante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64BB12C3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CBB22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C7F8BC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21BE3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D8A051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2F1178B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4FA02A1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F4CF916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FC9942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48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 Inciso a)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9051C4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La tecnología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elegida por el Regulado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para el Conjunto de Preventores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 las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actividades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de Perforación y Terminación,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¿cumple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diseño para p</w:t>
            </w:r>
            <w:r w:rsidRPr="005A2CC2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revenir el flujo no controlado y no intencional de fluidos a la superficie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129DAF69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5F158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8C8BED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4E3B2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C4073C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FA76C7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0B482F3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643A0B1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78AE1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48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BAC778" w14:textId="77777777" w:rsidR="005A5F22" w:rsidRPr="003F66CD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La tecnología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elegida por el Regulado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para el Conjunto de Preventores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para las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F66CD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actividades de Perforación y Terminación,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¿cumple con la </w:t>
            </w:r>
            <w:r w:rsidRPr="005A2CC2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integridad del Pozo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3B834C1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0BE8C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EECDD0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E80FC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4B18AD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A288CF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E60883E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81065FE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258037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48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B487A2" w14:textId="77777777" w:rsidR="005A5F22" w:rsidRPr="003F66CD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Conjunto de Preventores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encuentra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en condiciones óptimas de operación durante las actividades de Perf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oración y Terminación del Pozo?</w:t>
            </w:r>
          </w:p>
        </w:tc>
        <w:tc>
          <w:tcPr>
            <w:tcW w:w="1134" w:type="dxa"/>
            <w:shd w:val="clear" w:color="auto" w:fill="FFFFFF"/>
          </w:tcPr>
          <w:p w14:paraId="65C440E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FA726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70296E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64077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D7E46A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0685A6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1ABA191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8578B29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829F88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48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2ECCA5" w14:textId="77777777" w:rsidR="005A5F22" w:rsidRPr="003F66CD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Conjunto de Preventores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inclu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ye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arietes de corte operados vía remota, ubicados lo más cerca posible del cabezal o árbol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 válvulas según corresponda?</w:t>
            </w:r>
          </w:p>
        </w:tc>
        <w:tc>
          <w:tcPr>
            <w:tcW w:w="1134" w:type="dxa"/>
            <w:shd w:val="clear" w:color="auto" w:fill="FFFFFF"/>
          </w:tcPr>
          <w:p w14:paraId="1D6D9E2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59E73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10840B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A8C91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A36AC6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E81B93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923E3DE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061F3D8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D479D7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48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530BD1" w14:textId="77777777" w:rsidR="005A5F22" w:rsidRPr="003F66CD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Conjunto de Preventores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¿incluye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mecanismos de activación primaria y secundaria que fu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ncionen de manera independiente?</w:t>
            </w:r>
          </w:p>
        </w:tc>
        <w:tc>
          <w:tcPr>
            <w:tcW w:w="1134" w:type="dxa"/>
            <w:shd w:val="clear" w:color="auto" w:fill="FFFFFF"/>
          </w:tcPr>
          <w:p w14:paraId="6EF91B2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948DC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F0FCBA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04C6F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E52EBB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E2AC06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54E3ED7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0E99B2F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CF32441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49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C2A4B5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Los procedimientos de verificación técnica del Conjunto de Preventores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Equipos Críticos,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¿incluyen la r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evisión del diseño, distribución del Conjunto de Pr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eventores y memorias de cálculo?</w:t>
            </w:r>
          </w:p>
        </w:tc>
        <w:tc>
          <w:tcPr>
            <w:tcW w:w="1134" w:type="dxa"/>
            <w:shd w:val="clear" w:color="auto" w:fill="FFFFFF"/>
          </w:tcPr>
          <w:p w14:paraId="04359E7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0C94C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5B5029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323D3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E6259D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E1C78AD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A475336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5CDAE92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EAF099B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49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104EBC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Los procedimientos de verificación técnica del Conjunto de Preventores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Equipos Críticos,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¿incluyen la r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evisión de los diagramas de conexi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ones, instrumentación y control?</w:t>
            </w:r>
          </w:p>
        </w:tc>
        <w:tc>
          <w:tcPr>
            <w:tcW w:w="1134" w:type="dxa"/>
            <w:shd w:val="clear" w:color="auto" w:fill="FFFFFF"/>
          </w:tcPr>
          <w:p w14:paraId="08A94A7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9A1AE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0071D2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F6706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844113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654477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562E5E3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D501F6D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D26627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49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A59992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Los procedimientos de verificación técnica del Conjunto de Preventores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Equipos Críticos,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¿incluyen la r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evisión de los componentes, identificando defectos visibles en los materiales o en el ensamblaje, debiéndose d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ocumentar la revisión realizada?</w:t>
            </w:r>
          </w:p>
        </w:tc>
        <w:tc>
          <w:tcPr>
            <w:tcW w:w="1134" w:type="dxa"/>
            <w:shd w:val="clear" w:color="auto" w:fill="FFFFFF"/>
          </w:tcPr>
          <w:p w14:paraId="430140B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1D968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424D39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D74A0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5401BD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779594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75922B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E1A2149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7BD60B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49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lastRenderedPageBreak/>
              <w:t>IV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CF4CD2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Los procedimientos de verificación técnica del Conjunto de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Preventores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Equipos Críticos,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¿incluyen o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tros procedimientos recomendados por los fabricantes, incluyendo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revisiones y actualizaciones?</w:t>
            </w:r>
          </w:p>
        </w:tc>
        <w:tc>
          <w:tcPr>
            <w:tcW w:w="1134" w:type="dxa"/>
            <w:shd w:val="clear" w:color="auto" w:fill="FFFFFF"/>
          </w:tcPr>
          <w:p w14:paraId="23C2F2A0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E2B1E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BCFB33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1B766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A9A78C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31853F1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977DAD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1966C7F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2CD3B0C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49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5F1F50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Los procedimientos de verificación técnica del Conjunto de Preventores y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Equipos Críticos,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¿incluyen o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tros procedimientos internos que los Regulados consideren necesarios, incluyendo revisiones y actualizaciones de los mismos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3A4125B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51B03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8E2A8D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741F0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3D7A1C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266B69A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90EB9A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613E424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24181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BCEA20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cuenta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los mecanismos para administrar los Riesgos en las operaciones que utilicen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herramientas de registros de pozo, bombeo de alta presión, maniobras de equipos, molienda de tapones, apertura de Pozo y para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realización de Disparos?</w:t>
            </w:r>
          </w:p>
        </w:tc>
        <w:tc>
          <w:tcPr>
            <w:tcW w:w="1134" w:type="dxa"/>
            <w:shd w:val="clear" w:color="auto" w:fill="FFFFFF"/>
          </w:tcPr>
          <w:p w14:paraId="756E70D7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EBD02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99E5A1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F2F4F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5AD05B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9C22B9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4D4BDE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4F47921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1D7DBC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182835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identifica y conserva información sobre la composición y propiedades de los fluidos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Perforación y sobre el sistema de manejo de los fluidos empleados en las actividades de Exploración y Extracción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Hidrocarburos en Yacimientos No Convencionales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06CB3FD7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5CD2A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A0934D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3C16F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249977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C44574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098A71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085E424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B8E0CC7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8CDDA6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Regulado presento ante la Agencia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información sobre la composición y propiedades de los fluidos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Perforación y sobre el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sistema de manejo de los fluidos empleados en las actividades de Exploración y Extracción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Hidrocarburos en Yacimientos No Convencionales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3E1FFB5A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FA819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449514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C09E5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786246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02F45E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F4805B3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B4E51C0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A3286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51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513E8D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información sobre la composición y propiedades de los fluidos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Perforación y sobre el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sistema de manejo de los fluidos empleados en las actividades de Exploración y Extracción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Hidrocarburos en Yacimientos No Convencionales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¿incluyó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 c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omposición de los fluidos de Perforación y los aditi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vos a emplear en su elaboración?</w:t>
            </w:r>
          </w:p>
        </w:tc>
        <w:tc>
          <w:tcPr>
            <w:tcW w:w="1134" w:type="dxa"/>
            <w:shd w:val="clear" w:color="auto" w:fill="FFFFFF"/>
          </w:tcPr>
          <w:p w14:paraId="73D95FD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3FADC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6FA74F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65570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7C8B60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9FD238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1AFD35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90F64D7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9C6A84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51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AF1EB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información sobre la composición y propiedades de los fluidos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Perforación y sobre el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sistema de manejo de los fluidos empleados en las actividades de Exploración y Extracción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Hidrocarburos en Yacimientos No Convencionales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¿incluyó las c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aracterísticas físicas y reológicas de los flu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idos de Perforación?</w:t>
            </w:r>
          </w:p>
        </w:tc>
        <w:tc>
          <w:tcPr>
            <w:tcW w:w="1134" w:type="dxa"/>
            <w:shd w:val="clear" w:color="auto" w:fill="FFFFFF"/>
          </w:tcPr>
          <w:p w14:paraId="06397D37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8565B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69B38C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DDFF5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E99664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DF66C91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CAC5336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14C64B5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C0705C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51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A355E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información sobre la composición y propiedades de los fluidos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Perforación y sobre el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sistema de manejo de los fluidos empleados en las actividades de Exploración y Extracción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Hidrocarburos en Yacimientos No Convencionales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¿incluyó l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os aspectos de seguridad del sistema de m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anejo de fluidos de Perforación?</w:t>
            </w:r>
          </w:p>
        </w:tc>
        <w:tc>
          <w:tcPr>
            <w:tcW w:w="1134" w:type="dxa"/>
            <w:shd w:val="clear" w:color="auto" w:fill="FFFFFF"/>
          </w:tcPr>
          <w:p w14:paraId="3C229E7C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26DDA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9122B0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08AF5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D3A63C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411DF3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C72689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A01147C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67BB907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51 fracción IV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76358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información sobre la composición y propiedades de los fluidos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Perforación y sobre el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sistema de manejo de los fluidos empleados en las actividades de Exploración y Extracción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Hidrocarburos en Yacimientos No Convencionales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¿incluyó l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mecanismos del sistema para el manejo de fluidos de perforación para la protección a las personas y el medio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ambiente?</w:t>
            </w:r>
          </w:p>
        </w:tc>
        <w:tc>
          <w:tcPr>
            <w:tcW w:w="1134" w:type="dxa"/>
            <w:shd w:val="clear" w:color="auto" w:fill="FFFFFF"/>
          </w:tcPr>
          <w:p w14:paraId="48F08323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E3C2A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5AFAB4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4AB37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FD47D1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5CF4AB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FD0034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C23F493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6A8551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51 fracción 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894D1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información sobre la composición y propiedades de los fluidos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Perforación y sobre el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sistema de manejo de los fluidos empleados en las actividades de Exploración y Extracción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Hidrocarburos en Yacimientos No Convencionales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¿incluyó l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os requisitos de desempeño del sistema mencionado en situaciones normales y de Emergencia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755E5A71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C0962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A4D9F8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ECCDF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DA635C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C68E96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664209E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A1A2D89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9518E7A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D3B084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realiza pruebas de funcionamiento del sistema de manejo de los fluidos de Perforación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cada vez que la operación lo requiera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2C279BC2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8F393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F92E7B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D0578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0BAE68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D29C48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D77FB4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A441721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381CA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AF764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conserva el registro de los resultados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pruebas de funcionamiento del sistema de manejo de los fluidos de Perforación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06594C33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CD022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5D8E39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A00BF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2F8FDF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532EB4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00BBBB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EEE8989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01F2AF5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BFB8D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ha presentado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registro de los resultados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pruebas de funcionamiento del sistema de manejo de los fluidos de Perforación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 la Agencia?</w:t>
            </w:r>
          </w:p>
        </w:tc>
        <w:tc>
          <w:tcPr>
            <w:tcW w:w="1134" w:type="dxa"/>
            <w:shd w:val="clear" w:color="auto" w:fill="FFFFFF"/>
          </w:tcPr>
          <w:p w14:paraId="74230704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D1086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43C639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C62BD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C8BCA1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9D4B40A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629B4B1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D2E7F9B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E22265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4E424C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Cualquier acción correctiva identificada durante las pruebas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implementa an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tes de continuar la Perforación?</w:t>
            </w:r>
          </w:p>
        </w:tc>
        <w:tc>
          <w:tcPr>
            <w:tcW w:w="1134" w:type="dxa"/>
            <w:shd w:val="clear" w:color="auto" w:fill="FFFFFF"/>
          </w:tcPr>
          <w:p w14:paraId="6E5253FE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6D372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3EA959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7965F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149CA1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6D9A20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1D7FC5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905E0F3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193A8F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C6BC2A" w14:textId="77777777" w:rsidR="005A5F22" w:rsidRPr="004E1380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Regulado ¿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clasifica las áreas de manejo de los fluidos de Perforación de conformidad con las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prácticas y estándares nacionales e internacionales, como el IEC 60079 o un estándar equivalente o superior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3B2D7152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613D5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27C0C2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EBE9B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471393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6ACE4F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55C0B6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5F7988D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A42CFF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53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5EFFF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Las áreas de manejo de los fluidos de Perforación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encuentran equipadas con u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 sistema de ventilación que tenga la capacidad de reemplazar el aire cada cinco minutos o cada 0.0283168 metros cúbicos (1.0 pie cúbico) de volumen de flujo de aire por minuto, o por cada 0.092903 metros cuadrados (1.0 pie cuadrado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de área), lo que resulte mayor?</w:t>
            </w:r>
          </w:p>
        </w:tc>
        <w:tc>
          <w:tcPr>
            <w:tcW w:w="1134" w:type="dxa"/>
            <w:shd w:val="clear" w:color="auto" w:fill="FFFFFF"/>
          </w:tcPr>
          <w:p w14:paraId="5E8E6B97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C256E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28D781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4615A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3BA749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317065D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F5F64F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72E64A8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D84CA2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53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00C74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Las áreas de manejo de los fluidos de Perforación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encuentran equipadas con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sistema mecánico de ventilación no será necesario si los medios naturales proveen la ventilación que evite la generación de una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atmósfera explosiva y/o tóxica?</w:t>
            </w:r>
          </w:p>
        </w:tc>
        <w:tc>
          <w:tcPr>
            <w:tcW w:w="1134" w:type="dxa"/>
            <w:shd w:val="clear" w:color="auto" w:fill="FFFFFF"/>
          </w:tcPr>
          <w:p w14:paraId="4AE8F1B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8EB36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E865FA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10313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C3D7AA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D981B6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848E43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9B0C31F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D3A7E56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53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0D8FAC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Las áreas de manejo de los fluidos de Perforación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encuentran equipadas con d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etectores de gas y alarmas, excepto en las áreas abiertas donde medios naturales proveen la ventilación que evite la generación de una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atmósfera explosiva y/o tóxica?</w:t>
            </w:r>
          </w:p>
        </w:tc>
        <w:tc>
          <w:tcPr>
            <w:tcW w:w="1134" w:type="dxa"/>
            <w:shd w:val="clear" w:color="auto" w:fill="FFFFFF"/>
          </w:tcPr>
          <w:p w14:paraId="0B4D789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1776F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D3CD51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C71BD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E83A3B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B2CFF4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C4A8C3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F67BAAA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70FDCC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53 Fracción IV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C566A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Las áreas de manejo de los fluidos de Perforación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encuentran equipadas con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detectores de gas en espacios confinados capaces de medir el ni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vel de explosividad?</w:t>
            </w:r>
          </w:p>
        </w:tc>
        <w:tc>
          <w:tcPr>
            <w:tcW w:w="1134" w:type="dxa"/>
            <w:shd w:val="clear" w:color="auto" w:fill="FFFFFF"/>
          </w:tcPr>
          <w:p w14:paraId="45FF216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B244D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D08AC3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C2F92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2DDBBE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F7DE86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23DBDD9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2F1118A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3A9787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53 Fracción 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D3D8F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Las áreas de manejo de los fluidos de Perforación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encuentran equipadas con 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Equipo eléctrico a prueba de explosiones o presurizado para prevenir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ignición de gases explosivos?</w:t>
            </w:r>
          </w:p>
        </w:tc>
        <w:tc>
          <w:tcPr>
            <w:tcW w:w="1134" w:type="dxa"/>
            <w:shd w:val="clear" w:color="auto" w:fill="FFFFFF"/>
          </w:tcPr>
          <w:p w14:paraId="7136EA58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C92CC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AC79D0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E0852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E6171C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B55B641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8404B2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5A8E655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B98FCB6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53 Fracción VI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23949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Las áreas de manejo de los fluidos de Perforación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¿se encuentran equipadas con a</w:t>
            </w: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larmas que se activen cuando el sistema mecánico de ventilación falle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7B07D006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C4635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A24403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BFA98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2D7D1C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C976D1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81CEDB9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58F8ABC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C9FBEE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54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D2A4B0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el proceso de Terminación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Regulado cuenta con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las conexiones superficiales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(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cabezal de Pozo, Conjunto de Preventores, árbol de válvulas, líne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as de tratamiento y de control)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de control conforme a las máximas condiciones de presión y temp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eratura de operación esperadas?</w:t>
            </w:r>
          </w:p>
        </w:tc>
        <w:tc>
          <w:tcPr>
            <w:tcW w:w="1134" w:type="dxa"/>
            <w:shd w:val="clear" w:color="auto" w:fill="FFFFFF"/>
          </w:tcPr>
          <w:p w14:paraId="5D04DBD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7384A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0B4CC9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189E9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289888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147BCA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BDD3D2E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8D87546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17D89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54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DC2039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el proceso de Terminación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Regulado cuenta con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sistemas de control manual y remoto del equipo y cone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xiones superficiales de control?</w:t>
            </w:r>
          </w:p>
        </w:tc>
        <w:tc>
          <w:tcPr>
            <w:tcW w:w="1134" w:type="dxa"/>
            <w:shd w:val="clear" w:color="auto" w:fill="FFFFFF"/>
          </w:tcPr>
          <w:p w14:paraId="4BCCF39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AAB4C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FE577C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31E0F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18F65E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5460FE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EE82D2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180D7E3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E718E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54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B40070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el proceso de Terminación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Regulado cuenta con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personal con capacitación actualizada en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actividades de control de Pozo?</w:t>
            </w:r>
          </w:p>
        </w:tc>
        <w:tc>
          <w:tcPr>
            <w:tcW w:w="1134" w:type="dxa"/>
            <w:shd w:val="clear" w:color="auto" w:fill="FFFFFF"/>
          </w:tcPr>
          <w:p w14:paraId="36816EFA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8B3FB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F173F1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DC54B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4AB820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2A8C05B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98C8FA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C197062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6F94E6B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54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425196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el proceso de Terminación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Regulado implementa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los procedimientos para mitigar el Riesgo en la preparación, acondicionamiento, uso y manejo de los fluidos y materiales utilizados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durante la Terminación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de Pozos?</w:t>
            </w:r>
          </w:p>
        </w:tc>
        <w:tc>
          <w:tcPr>
            <w:tcW w:w="1134" w:type="dxa"/>
            <w:shd w:val="clear" w:color="auto" w:fill="FFFFFF"/>
          </w:tcPr>
          <w:p w14:paraId="6C40C4E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CFA55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806F48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DF33B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6D08D9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9D488B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58246D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06F8044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98639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54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310B6C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el proceso de Terminación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Regulado ha demostrado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hermeticidad de los segmentos revestidos y la adecuada cementación a través de pruebas de hermetic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idad y registros de cementación?</w:t>
            </w:r>
          </w:p>
        </w:tc>
        <w:tc>
          <w:tcPr>
            <w:tcW w:w="1134" w:type="dxa"/>
            <w:shd w:val="clear" w:color="auto" w:fill="FFFFFF"/>
          </w:tcPr>
          <w:p w14:paraId="218FDBD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F29EE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4C5DF4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14645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75A2F8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9DD2FD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3AE9E9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1E4953A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3D93DC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54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VI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5E24D5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el proceso de Terminación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Regulado cuenta con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mecanismos para verificar y vigilar la no contaminación de Acuíferos en las operaciones de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Terminación?</w:t>
            </w:r>
          </w:p>
        </w:tc>
        <w:tc>
          <w:tcPr>
            <w:tcW w:w="1134" w:type="dxa"/>
            <w:shd w:val="clear" w:color="auto" w:fill="FFFFFF"/>
          </w:tcPr>
          <w:p w14:paraId="28B7C4EA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0A0E1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5CA597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D752B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58E307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AE73A2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F98717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D07F2EE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FF8501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54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VII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9E4A9C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el proceso de Terminación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Regulado cuenta con el diseño y realización de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las actividades de Terminación con al meno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 dos Barreras independientes?</w:t>
            </w:r>
          </w:p>
        </w:tc>
        <w:tc>
          <w:tcPr>
            <w:tcW w:w="1134" w:type="dxa"/>
            <w:shd w:val="clear" w:color="auto" w:fill="FFFFFF"/>
          </w:tcPr>
          <w:p w14:paraId="58A114F1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AD4C5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155DFC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767DA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AC0526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F2528BB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B3600B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644B7EA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50913B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54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VIII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E05CC6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873CB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Con la finalidad de reducir los Riesgos e impactos durante el proceso de Terminación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¿el Regulado mantiene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monitoreo de presión durante las actividades de Terminación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4053F7B0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51FA0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3F17EE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9E9C7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9E569A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11419F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25FC1E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1C52A7E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3FBF359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B3736D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Previo a la realización de las actividades de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Hidráulico,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¿el Regulado dio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aviso a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Agencia mediante el Aviso de Cambio de Operaciones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665FEB1F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CBEBE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225455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E13D2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DF4876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8FBE3D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12DBBC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E9FD513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4BE1F49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55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C2DDC7" w14:textId="77777777" w:rsidR="005A5F22" w:rsidRPr="00602594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Aviso de Cambio de Operaciones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¿incluyó la v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erificación de la Integridad Mecánica y la hermeti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cidad del Pozo?</w:t>
            </w:r>
          </w:p>
        </w:tc>
        <w:tc>
          <w:tcPr>
            <w:tcW w:w="1134" w:type="dxa"/>
            <w:shd w:val="clear" w:color="auto" w:fill="FFFFFF"/>
          </w:tcPr>
          <w:p w14:paraId="3AC30637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D24D8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CF56DA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7C037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69EED9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A0D7427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B061806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289C9AA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B0A48B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55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9452AD" w14:textId="77777777" w:rsidR="005A5F22" w:rsidRPr="00602594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Aviso de Cambio de Operaciones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¿incluyó el 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úmero de Etapas de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Hidráulico programadas incluyendo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número de </w:t>
            </w:r>
            <w:proofErr w:type="spellStart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clusters</w:t>
            </w:r>
            <w:proofErr w:type="spellEnd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por etapa?</w:t>
            </w:r>
          </w:p>
        </w:tc>
        <w:tc>
          <w:tcPr>
            <w:tcW w:w="1134" w:type="dxa"/>
            <w:shd w:val="clear" w:color="auto" w:fill="FFFFFF"/>
          </w:tcPr>
          <w:p w14:paraId="4934615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86D35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466AC2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E78EF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B646D0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6B864F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03D3F9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3D44BF6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272F589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55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424217" w14:textId="77777777" w:rsidR="005A5F22" w:rsidRPr="00602594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Aviso de Cambio de Operaciones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incluyó el p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ronóstico del alcance geométrico de la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fractura, con base en la simulación incluyendo un listado de equ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ipos a emplear?</w:t>
            </w:r>
          </w:p>
        </w:tc>
        <w:tc>
          <w:tcPr>
            <w:tcW w:w="1134" w:type="dxa"/>
            <w:shd w:val="clear" w:color="auto" w:fill="FFFFFF"/>
          </w:tcPr>
          <w:p w14:paraId="0BEE447A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C5A0C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EB710A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0675E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2E6620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B4BA67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BB5E4B0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8BCD447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F28748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55 Fracción IV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0AEC29" w14:textId="77777777" w:rsidR="005A5F22" w:rsidRPr="00602594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Aviso de Cambio de Operaciones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¿incluyó el l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istado y estimación de vol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umen de materiales a utilizar?</w:t>
            </w:r>
          </w:p>
        </w:tc>
        <w:tc>
          <w:tcPr>
            <w:tcW w:w="1134" w:type="dxa"/>
            <w:shd w:val="clear" w:color="auto" w:fill="FFFFFF"/>
          </w:tcPr>
          <w:p w14:paraId="54128C3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99804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9DB186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43335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E15F60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B8C982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BB83FF6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C130994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63643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55 Fracción V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081F64" w14:textId="77777777" w:rsidR="005A5F22" w:rsidRPr="00602594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Aviso de Cambio de Operaciones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¿incluyó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Parámetros de bombeo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4BA92CDF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2B564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D99D7E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FBB6C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09F69E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EAF721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F99A56B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67A8586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61589F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9197A9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 notifica a la Agencia mediante el Aviso de Cambio de Operaciones, cuarenta y ocho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horas previo al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Hidráulico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56742EAC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2F552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CE181E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40FCC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22EBFF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687B78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DE9A34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46BC3C0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417A57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FF0A11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Regulado ¿utiliza para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Aviso de Cambio de Operaciones, el formato que para tal efecto publique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 Agencia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 cuando en la formulación del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Fluido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Fracturante</w:t>
            </w:r>
            <w:proofErr w:type="spellEnd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se utilicen uno o más aditivos diferentes a los declarados en el Aviso de Inicio de Actividades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5231D2F7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772EB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346F16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A8B41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A12D4B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F7746F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B84C867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729D441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C085F3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DF87EF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Junto con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Aviso de Cambio de Operaciones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se presenta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listado de aditivos, así como sus hojas de datos de seguridad, de ac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uerdo a la normatividad vigente?</w:t>
            </w:r>
          </w:p>
        </w:tc>
        <w:tc>
          <w:tcPr>
            <w:tcW w:w="1134" w:type="dxa"/>
            <w:shd w:val="clear" w:color="auto" w:fill="FFFFFF"/>
          </w:tcPr>
          <w:p w14:paraId="486E8855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70FAA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04D718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080D4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DF10A3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322DCF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3E0039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008DFE0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F8160A8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65BD0F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Adicionalmente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 presenta el porcentaje en peso de los aditivos en 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 Fluido </w:t>
            </w:r>
            <w:proofErr w:type="spellStart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Fracturante</w:t>
            </w:r>
            <w:proofErr w:type="spellEnd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 utilizar?</w:t>
            </w:r>
          </w:p>
        </w:tc>
        <w:tc>
          <w:tcPr>
            <w:tcW w:w="1134" w:type="dxa"/>
            <w:shd w:val="clear" w:color="auto" w:fill="FFFFFF"/>
          </w:tcPr>
          <w:p w14:paraId="6712D2D8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2FA5F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6FF24D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3413D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9EA9FA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8FBEDD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5BB15DE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3F73B7B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B1C649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10A7E0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presas de terracería para el almacenamiento de Aguas de Primer Uso para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Hidráulico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utilizan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en las actividades de Exploración y Extracción en Yacimientos No Convencionales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0B050F8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32392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DC7C8C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6EC0A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7E0B2C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236A74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BD0F28B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542DAC3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CF411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009F16" w14:textId="77777777" w:rsidR="005A5F22" w:rsidRPr="00602594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presas de terracería para el almacenamiento de Aguas de Primer Uso para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Hidráulico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 ¿se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diseña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ron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base a los resultados del Análisis de Riesgo desarrollado para la Autorización de su Sistema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Administración y las mejores prácticas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04E414BE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FC795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CC7E0E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0C307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DAC660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9D2ECBD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2E4BE2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9F576D7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8DD06BA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57C14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Las presas de terracería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encuentran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debidamente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protegidas e impermeabilizadas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mediante una geomembrana, seleccionada de acuerdo a la operación y el entorno al que estará expuesta, colocada en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totalidad de la extensión de la presa y las paredes de la misma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1B9E5AA5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0838F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77E517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07439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5B945D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FB8E2E2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BF90CF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C5FFE5D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AE1CF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99E7DA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¿ha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realiza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construcción de presas de terracería para el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Hidráulico en la etapa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Terminación de Pozos, conforme a la legislación aplicable y la normatividad reconocida en su Sistema de Administración, así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como con las medidas y condicionantes establecidas en las autorizaciones en materia de imp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acto ambiental que correspondan?</w:t>
            </w:r>
          </w:p>
        </w:tc>
        <w:tc>
          <w:tcPr>
            <w:tcW w:w="1134" w:type="dxa"/>
            <w:shd w:val="clear" w:color="auto" w:fill="FFFFFF"/>
          </w:tcPr>
          <w:p w14:paraId="166071E9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FEB7B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2DA803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7548D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5786D4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804D1F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758C7E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C740839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6C4308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5458F5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 construyen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presas para el almacenamiento de Aguas de Primer Uso para la Terminación de Pozos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Extracción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utiliza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como parte de una red hidráulica para abastecer los trabajos de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Hidráulico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durante la etapa de desarrollo, con el propósito de disminuir el impacto ambiental, atenuar el impacto ambiental y para reducir 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tránsito de vehículos?</w:t>
            </w:r>
          </w:p>
        </w:tc>
        <w:tc>
          <w:tcPr>
            <w:tcW w:w="1134" w:type="dxa"/>
            <w:shd w:val="clear" w:color="auto" w:fill="FFFFFF"/>
          </w:tcPr>
          <w:p w14:paraId="5CE57AA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A0509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340492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42717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408EE4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5AADFC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C797BD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3F93871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F70CE2" w14:textId="77777777" w:rsidR="005A5F22" w:rsidRPr="002D4E0A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2D4E0A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B61F09" w14:textId="77777777" w:rsidR="005A5F22" w:rsidRPr="002D4E0A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2D4E0A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Para el almacenamiento de Aguas de primer uso para el </w:t>
            </w:r>
            <w:proofErr w:type="spellStart"/>
            <w:r w:rsidRPr="002D4E0A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 w:rsidRPr="002D4E0A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Hidráulico y las zonas aledañas que hayan resultado impactadas, al final de la etapa de Terminación de los Pozos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 el Regulado ¿</w:t>
            </w:r>
            <w:r w:rsidRPr="002D4E0A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restaura el área utilizada para la construcción de las presas de terracería, a condiciones similares a las prevalecientes en las áreas adyacentes o que propicien la contin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uidad de los procesos naturales?</w:t>
            </w:r>
          </w:p>
        </w:tc>
        <w:tc>
          <w:tcPr>
            <w:tcW w:w="1134" w:type="dxa"/>
            <w:shd w:val="clear" w:color="auto" w:fill="FFFFFF"/>
          </w:tcPr>
          <w:p w14:paraId="1FD14316" w14:textId="77777777" w:rsidR="005A5F22" w:rsidRDefault="005A5F22" w:rsidP="005A5F22">
            <w:pPr>
              <w:jc w:val="center"/>
            </w:pPr>
            <w:r w:rsidRPr="002D4E0A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0759E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7115C5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0F885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EEF11B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4870FE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D366C3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B91A58D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88EB04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ACB54B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manejo y almacenamiento de los aditivos y Agentes Apuntalantes para la formulación de los Fluidos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Fracturantes</w:t>
            </w:r>
            <w:proofErr w:type="spellEnd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realiza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en apego a lo establecido en la normatividad aplicable y lo establecido por los Regulados en su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Sistema de Administra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ción autorizado por la Agencia?</w:t>
            </w:r>
          </w:p>
        </w:tc>
        <w:tc>
          <w:tcPr>
            <w:tcW w:w="1134" w:type="dxa"/>
            <w:shd w:val="clear" w:color="auto" w:fill="FFFFFF"/>
          </w:tcPr>
          <w:p w14:paraId="14B3EAF8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lastRenderedPageBreak/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49F52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14E907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09010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A78E3D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AC9DD2A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C523CA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7BE2A9FC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A01C3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681505" w14:textId="77777777" w:rsidR="005A5F22" w:rsidRPr="00602594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asegur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su aislamiento en áreas apropiadas, para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evitar la contaminación del suelo, cuerpos de agua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y la atmósfera?</w:t>
            </w:r>
          </w:p>
        </w:tc>
        <w:tc>
          <w:tcPr>
            <w:tcW w:w="1134" w:type="dxa"/>
            <w:shd w:val="clear" w:color="auto" w:fill="FFFFFF"/>
          </w:tcPr>
          <w:p w14:paraId="51FB37E2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9BB57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98E54D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59096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6C9A93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16CF72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ABBA5B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9EEAAD0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1BD1F8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52D9DB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¿implementa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mecanismos para la incorporación de las mejores prácticas en el uso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aditivos y materiales en los Fluidos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ntes</w:t>
            </w:r>
            <w:proofErr w:type="spellEnd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 en cantidad y composición?</w:t>
            </w:r>
          </w:p>
        </w:tc>
        <w:tc>
          <w:tcPr>
            <w:tcW w:w="1134" w:type="dxa"/>
            <w:shd w:val="clear" w:color="auto" w:fill="FFFFFF"/>
          </w:tcPr>
          <w:p w14:paraId="477C7A54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6DC53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73329D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D80D2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B7E071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CE2900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7BA03E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BD07900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7BEDEF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7BE420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¿cuenta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una bitácora foliada y actualizada de la operación de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Hidráulico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1BEB5CEB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586D2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E612DF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2D35A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E70D25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94218B1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2A93199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634D1AA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5C66AA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DB3D8E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Regulado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presenta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(si ha sido requerida) a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la Agencia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bitácora con los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registr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os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por cada etapa, el volumen de fluido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empleado y sus componentes, así como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presión de inyección de bombeo?</w:t>
            </w:r>
          </w:p>
        </w:tc>
        <w:tc>
          <w:tcPr>
            <w:tcW w:w="1134" w:type="dxa"/>
            <w:shd w:val="clear" w:color="auto" w:fill="FFFFFF"/>
          </w:tcPr>
          <w:p w14:paraId="27D55A76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FC2D9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B6DFA0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1EE31E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CFBF5C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91195B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825F839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FE08330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15A2A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0DAED2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Fluido de Retorno producido por el </w:t>
            </w:r>
            <w:proofErr w:type="spellStart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Fracturamiento</w:t>
            </w:r>
            <w:proofErr w:type="spellEnd"/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Hidráulico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¿es manejado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en términos de la normatividad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aplicable en la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materia?</w:t>
            </w:r>
          </w:p>
        </w:tc>
        <w:tc>
          <w:tcPr>
            <w:tcW w:w="1134" w:type="dxa"/>
            <w:shd w:val="clear" w:color="auto" w:fill="FFFFFF"/>
          </w:tcPr>
          <w:p w14:paraId="47F87326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664FE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D12FA6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1CF37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4DB5295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9FF09C1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DCA7C07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3B064A5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111E1CA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0FBFAC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Regulado prohíbe (no permite)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la construcción de presas de terracería para el almacenamiento del Fluido de Retorno ni Agua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Producida?</w:t>
            </w:r>
          </w:p>
        </w:tc>
        <w:tc>
          <w:tcPr>
            <w:tcW w:w="1134" w:type="dxa"/>
            <w:shd w:val="clear" w:color="auto" w:fill="FFFFFF"/>
          </w:tcPr>
          <w:p w14:paraId="553919A7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99F25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EF3935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67EA8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A9D6EA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4A9B67C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019528F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C04EF3D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5AB0B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39D66A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Fluido de Retorno y el Agua Producida obtenidos en los Pozos de Exploración, Pozos de Extracción o en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plantas de separación,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¿se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almacena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temporalmente en presas portátiles cerradas antes de ser reciclados en 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proyecto o realizar su trasiego a Pozos de Disposi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ción o a plantas de tratamiento?</w:t>
            </w:r>
          </w:p>
        </w:tc>
        <w:tc>
          <w:tcPr>
            <w:tcW w:w="1134" w:type="dxa"/>
            <w:shd w:val="clear" w:color="auto" w:fill="FFFFFF"/>
          </w:tcPr>
          <w:p w14:paraId="13E35F00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C0493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2FC557A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C0CD5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F91EEA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C7E308C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752019A5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68120C7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D32A43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09407B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¿Las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presas portátiles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son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metálicas o de cualquier otro material que garantice la hermeticidad y la contención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3FFB7724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166C5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5047B57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08E72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299807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05E31EC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527E76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6B84C3FA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5F4388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AEA00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Regulado ¿verifica que las presas portátiles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se coloquen directamente sobre el suelo y que sean colocadas sobre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una barrera impermeable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1A3E34C4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7AFF3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C9DF42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ABD90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5B1B41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D579CD1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35BEA6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6E610DA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3211CEA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5F0CCE" w14:textId="77777777" w:rsidR="005A5F22" w:rsidRPr="001409C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Regulado ¿verifica que l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as presas portátiles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cerradas no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almacenen</w:t>
            </w:r>
            <w:r w:rsidRPr="00602594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un volumen mayor al nov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enta por ciento de su capacidad?</w:t>
            </w:r>
          </w:p>
        </w:tc>
        <w:tc>
          <w:tcPr>
            <w:tcW w:w="1134" w:type="dxa"/>
            <w:shd w:val="clear" w:color="auto" w:fill="FFFFFF"/>
          </w:tcPr>
          <w:p w14:paraId="217B25D6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6744E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0CB3AA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96896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D22728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D8FDE9B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48BFFC51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83C4244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C7042B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F7BAD0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verifica de manera previa a su uso, la integridad física de las presas portátiles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empleadas para el almacenamiento del Fluido de Retorno, en cumplimiento con lo dispuesto en su Sistema de Administración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autorizado por la Agencia?</w:t>
            </w:r>
          </w:p>
        </w:tc>
        <w:tc>
          <w:tcPr>
            <w:tcW w:w="1134" w:type="dxa"/>
            <w:shd w:val="clear" w:color="auto" w:fill="FFFFFF"/>
          </w:tcPr>
          <w:p w14:paraId="6DC6AB8E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B0594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D5EBC6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6ECF1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40BF2E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971AB2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1EDAFA7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83F80A7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373640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28F5D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Regulado ¿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mant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iene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un expediente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de la verificación de la integridad física de las presas portátiles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que permita evidenciar el resultado de las revisiones o pruebas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realizadas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7A6C029B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ACFBD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3346CAA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D9A7E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620A77E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6A76503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F945D2C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1C82B15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299BC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49B7EB" w14:textId="77777777" w:rsidR="005A5F22" w:rsidRPr="001409C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¿Ha presentado el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expediente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 la verificación de la integridad física de las presas portátiles a la Agencia?</w:t>
            </w:r>
          </w:p>
        </w:tc>
        <w:tc>
          <w:tcPr>
            <w:tcW w:w="1134" w:type="dxa"/>
            <w:shd w:val="clear" w:color="auto" w:fill="FFFFFF"/>
          </w:tcPr>
          <w:p w14:paraId="4121AD07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F7CCA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472AD6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72617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511FC6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2E0CE40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0A0824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9C73428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28ADD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A1B345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Regulado ¿realiza cuando es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posible, el tratamiento y reúso del Fluido de Retorno con el fin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disminuir el volumen de Aguas de Primer Uso en los trabajos de </w:t>
            </w:r>
            <w:proofErr w:type="spellStart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amiento</w:t>
            </w:r>
            <w:proofErr w:type="spellEnd"/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Hidráulico subsecuentes?</w:t>
            </w:r>
          </w:p>
        </w:tc>
        <w:tc>
          <w:tcPr>
            <w:tcW w:w="1134" w:type="dxa"/>
            <w:shd w:val="clear" w:color="auto" w:fill="FFFFFF"/>
          </w:tcPr>
          <w:p w14:paraId="576757A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9B5A3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CDFFB8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C1D30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1C84FC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CA8BE7C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813F3E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8B38323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9BAB447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A2C41B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 Regulado ¿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conserva el registro del volumen producido de Fluido de Retorno desde la apertura del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Pozo, así como el tipo de disposición o reciclaje que efectúen y presentarlo cuan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 sea requerido por la Agencia?</w:t>
            </w:r>
          </w:p>
        </w:tc>
        <w:tc>
          <w:tcPr>
            <w:tcW w:w="1134" w:type="dxa"/>
            <w:shd w:val="clear" w:color="auto" w:fill="FFFFFF"/>
          </w:tcPr>
          <w:p w14:paraId="514A487A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CB5626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8B4C3D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CB3A9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492D6E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04BD41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057FA94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07FFF2B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96CD4D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2DE2C4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 fin de identificar las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características de peligrosidad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¿el Regulado realiza la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caracterización composicional de elementos químicos del Fluido de Retorno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dentro de los primeros diez días naturales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iniciada la obtención del mismo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1E616EEB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E8EEA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5179EB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30682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A17CD3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E28DA9F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3E11DCE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3A34BA23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D5974D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1A1C80" w14:textId="77777777" w:rsidR="005A5F22" w:rsidRPr="001409C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 fin de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determinar si cuenta con características corrosivas, reactivas, inflamables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o tóxicas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, ¿el Regulado realiza un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análisis CRIT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al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Fluido de Retorno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,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de acuerdo con la normat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ividad aplicable en la materia?</w:t>
            </w:r>
          </w:p>
        </w:tc>
        <w:tc>
          <w:tcPr>
            <w:tcW w:w="1134" w:type="dxa"/>
            <w:shd w:val="clear" w:color="auto" w:fill="FFFFFF"/>
          </w:tcPr>
          <w:p w14:paraId="78C3FE76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05FC4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AAB78E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48D76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587B924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17A8B41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292960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E5552A1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4FBEDC" w14:textId="77777777" w:rsidR="005A5F22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59C5A1" w14:textId="77777777" w:rsidR="005A5F22" w:rsidRPr="001409C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El Regulado ¿mantiene disponibles y en su caso ha presentado a la Agencia los resultados al fluido de retorno? </w:t>
            </w:r>
          </w:p>
        </w:tc>
        <w:tc>
          <w:tcPr>
            <w:tcW w:w="1134" w:type="dxa"/>
            <w:shd w:val="clear" w:color="auto" w:fill="FFFFFF"/>
          </w:tcPr>
          <w:p w14:paraId="2EFF84CF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96D27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0413F95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51529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3DAA92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698E4E8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44F6999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C91C323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F7EB95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15931D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Los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análisis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al fluido de retorno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 realizan una sola vez por Pozo Exploratorio o de Avanzada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2EB98D3D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6C1E8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1DAD6F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7579A1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1CC7DC4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A5B1C0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BDA3AFA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0592F4BE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C3CE8C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D7D388" w14:textId="77777777" w:rsidR="005A5F22" w:rsidRPr="001409C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En caso de utilizar en los Pozos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de Extracción sucesivos, sustancias químicas en el Fluido </w:t>
            </w:r>
            <w:proofErr w:type="spellStart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Fracturante</w:t>
            </w:r>
            <w:proofErr w:type="spellEnd"/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distintas a las declaradas inicialmente,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realiza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n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nuevamente los análisis en el Pozo donde inicialme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nte se aplique esa modificación?</w:t>
            </w:r>
          </w:p>
        </w:tc>
        <w:tc>
          <w:tcPr>
            <w:tcW w:w="1134" w:type="dxa"/>
            <w:shd w:val="clear" w:color="auto" w:fill="FFFFFF"/>
          </w:tcPr>
          <w:p w14:paraId="15DB0038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A428E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6DC20779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A599D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70B310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363EF2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FCFDBF8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E156F2C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56C99F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819C0D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Los Pozos de Disposición para el Fluido de Retorno,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¿están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diseñados y construidos con base en las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mejores prácticas,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y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cumpl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en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con lo dispuesto en la normatividad aplicable en la materia y en la normatividad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aplicable a l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 disposición de Agua Producida?</w:t>
            </w:r>
          </w:p>
        </w:tc>
        <w:tc>
          <w:tcPr>
            <w:tcW w:w="1134" w:type="dxa"/>
            <w:shd w:val="clear" w:color="auto" w:fill="FFFFFF"/>
          </w:tcPr>
          <w:p w14:paraId="324C568C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A0F8B3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7B71BB92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35DA5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0E06BAE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33C6A89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581F4331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4367689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6E3D83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72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3A98F7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¿ha implementado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un programa de monitoreo de la integridad de los Pozos de Disposición,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donde al menos se verifica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Semanalmente las condiciones de operación de los Pozos de Disposición, principalmente el comportamiento de la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admisión de la roca recep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tora y la presión de inyección?</w:t>
            </w:r>
          </w:p>
        </w:tc>
        <w:tc>
          <w:tcPr>
            <w:tcW w:w="1134" w:type="dxa"/>
            <w:shd w:val="clear" w:color="auto" w:fill="FFFFFF"/>
          </w:tcPr>
          <w:p w14:paraId="0B0B156C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4193F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5D672B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FC170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80CFA2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64E59F5B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AE5616D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4261A689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73EB9A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72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64F403" w14:textId="77777777" w:rsidR="005A5F22" w:rsidRPr="001409C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¿ha implementado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un programa de monitoreo de la integridad de los Pozos de Disposición,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donde al menos se verifica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Anualmente realizar un análisis de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Integridad Mecánica del Pozo?</w:t>
            </w:r>
          </w:p>
        </w:tc>
        <w:tc>
          <w:tcPr>
            <w:tcW w:w="1134" w:type="dxa"/>
            <w:shd w:val="clear" w:color="auto" w:fill="FFFFFF"/>
          </w:tcPr>
          <w:p w14:paraId="47F207B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1E84E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CDD0C5F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3087C7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BD5D360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551B1444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21969F02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1CD75B95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E11376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72</w:t>
            </w: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Fracción III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B44F6A" w14:textId="77777777" w:rsidR="005A5F22" w:rsidRPr="001409C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¿ha implementado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un programa de monitoreo de la integridad de los Pozos de Disposición,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donde al menos se verifica r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ealizar cada seis meses, los análisis de integridad de las líneas de inyección, las plantas de inyección y de los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autotanques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?</w:t>
            </w:r>
          </w:p>
        </w:tc>
        <w:tc>
          <w:tcPr>
            <w:tcW w:w="1134" w:type="dxa"/>
            <w:shd w:val="clear" w:color="auto" w:fill="FFFFFF"/>
          </w:tcPr>
          <w:p w14:paraId="6D575C2A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779C1C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46ACCAE5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F07C2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3DD87AAD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34E71ED5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638400E1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2A5ECA19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17BE7AB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6E3C56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7342A4" w14:textId="77777777" w:rsidR="005A5F22" w:rsidRPr="003873CB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Durante la inyección de Fluido de Retorno y Agua Producida a Pozos de Disposición,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¿se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evit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rebasar el límite de admisión de las formaciones receptoras para no generar efectos de sobrepresión que impliquen Riesgos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de migración de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fluidos hacia otras formaciones?</w:t>
            </w:r>
          </w:p>
        </w:tc>
        <w:tc>
          <w:tcPr>
            <w:tcW w:w="1134" w:type="dxa"/>
            <w:shd w:val="clear" w:color="auto" w:fill="FFFFFF"/>
          </w:tcPr>
          <w:p w14:paraId="35D07E45" w14:textId="77777777" w:rsidR="005A5F22" w:rsidRDefault="005A5F22" w:rsidP="005A5F22">
            <w:pPr>
              <w:jc w:val="center"/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88FE1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488E78A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27668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79956198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72CDFD86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5F22" w:rsidRPr="004F0A0F" w14:paraId="02EA6769" w14:textId="77777777" w:rsidTr="005A5F22">
        <w:trPr>
          <w:trHeight w:val="379"/>
        </w:trPr>
        <w:tc>
          <w:tcPr>
            <w:tcW w:w="448" w:type="dxa"/>
            <w:shd w:val="clear" w:color="auto" w:fill="FFFFFF"/>
          </w:tcPr>
          <w:p w14:paraId="5A2293AD" w14:textId="77777777" w:rsidR="005A5F22" w:rsidRDefault="005A5F22" w:rsidP="005A5F22">
            <w:pPr>
              <w:pStyle w:val="Prrafodelista"/>
              <w:numPr>
                <w:ilvl w:val="0"/>
                <w:numId w:val="27"/>
              </w:num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8828D0" w14:textId="77777777" w:rsidR="005A5F22" w:rsidRPr="006E3C56" w:rsidRDefault="005A5F22" w:rsidP="005A5F22">
            <w:pPr>
              <w:spacing w:after="20" w:line="240" w:lineRule="auto"/>
              <w:ind w:left="-94" w:right="-50"/>
              <w:jc w:val="center"/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29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92B304" w14:textId="77777777" w:rsidR="005A5F22" w:rsidRPr="001409C3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El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Regulado 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¿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conserva y mant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iene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actualizada la información del historial de inyección, así como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409C3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de los equipos para el registro de los volúmenes inyectados en cada Pozo, para el caso de que esta información sea requerida</w:t>
            </w: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por la Agencia?</w:t>
            </w:r>
          </w:p>
        </w:tc>
        <w:tc>
          <w:tcPr>
            <w:tcW w:w="1134" w:type="dxa"/>
            <w:shd w:val="clear" w:color="auto" w:fill="FFFFFF"/>
          </w:tcPr>
          <w:p w14:paraId="63EA793E" w14:textId="77777777" w:rsidR="005A5F22" w:rsidRPr="003728C7" w:rsidRDefault="005A5F22" w:rsidP="005A5F22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3728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Documental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3A22B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vAlign w:val="center"/>
          </w:tcPr>
          <w:p w14:paraId="1253264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F0D43B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Align w:val="center"/>
          </w:tcPr>
          <w:p w14:paraId="240A8BC4" w14:textId="77777777" w:rsidR="005A5F22" w:rsidRPr="004F0A0F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Align w:val="center"/>
          </w:tcPr>
          <w:p w14:paraId="43A097C0" w14:textId="77777777" w:rsidR="005A5F22" w:rsidRDefault="005A5F22" w:rsidP="005A5F22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84D8DA0" w14:textId="77777777" w:rsidR="00B51A84" w:rsidRDefault="00B51A84" w:rsidP="00EF105A">
      <w:pPr>
        <w:pStyle w:val="texto"/>
        <w:ind w:firstLine="0"/>
        <w:rPr>
          <w:rFonts w:ascii="Soberana Sans Light" w:hAnsi="Soberana Sans Light" w:cs="Arial"/>
          <w:color w:val="000000"/>
          <w:szCs w:val="18"/>
          <w:lang w:eastAsia="es-MX"/>
        </w:rPr>
      </w:pPr>
    </w:p>
    <w:tbl>
      <w:tblPr>
        <w:tblW w:w="9923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9923"/>
      </w:tblGrid>
      <w:tr w:rsidR="00EF105A" w14:paraId="27ECB0E3" w14:textId="77777777" w:rsidTr="00EF105A">
        <w:trPr>
          <w:trHeight w:val="2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23F0D43" w14:textId="77777777" w:rsidR="00EF105A" w:rsidRDefault="00EF105A">
            <w:pPr>
              <w:spacing w:after="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2F2F2F"/>
                <w:sz w:val="18"/>
                <w:szCs w:val="18"/>
                <w:lang w:eastAsia="es-MX"/>
              </w:rPr>
              <w:br w:type="page"/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OBSERVACIONES GENERALES:</w:t>
            </w:r>
          </w:p>
        </w:tc>
      </w:tr>
      <w:tr w:rsidR="00EF105A" w14:paraId="544FB53C" w14:textId="77777777" w:rsidTr="00EF105A">
        <w:trPr>
          <w:trHeight w:val="73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E4ABD5F" w14:textId="77777777" w:rsidR="00EF105A" w:rsidRDefault="00EF105A">
            <w:pPr>
              <w:spacing w:after="101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eastAsia="es-MX"/>
              </w:rPr>
              <w:t>&lt;&lt; Describir observaciones en caso de existir&gt;&gt;</w:t>
            </w:r>
            <w:r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eastAsia="es-MX"/>
              </w:rPr>
              <w:tab/>
            </w:r>
          </w:p>
        </w:tc>
      </w:tr>
    </w:tbl>
    <w:p w14:paraId="10E8A2D4" w14:textId="77777777" w:rsidR="00EF105A" w:rsidRDefault="00EF105A" w:rsidP="00EF105A">
      <w:pPr>
        <w:spacing w:after="40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4814"/>
        <w:gridCol w:w="5101"/>
      </w:tblGrid>
      <w:tr w:rsidR="00EF105A" w14:paraId="7B29FCFB" w14:textId="77777777" w:rsidTr="005A5F22">
        <w:trPr>
          <w:trHeight w:val="20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B654C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PERSONAL DEL TERCERO AUTORIZADO </w:t>
            </w:r>
            <w:r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DEL TERCERO AUTORIZADO&gt;&gt;</w:t>
            </w:r>
          </w:p>
        </w:tc>
      </w:tr>
      <w:tr w:rsidR="00EF105A" w14:paraId="599DAED0" w14:textId="77777777" w:rsidTr="005A5F22">
        <w:trPr>
          <w:trHeight w:val="81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B2A5D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6F4EAF5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6CE6832E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especializado en&gt;&gt;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752B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0F2DD65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</w:t>
            </w:r>
          </w:p>
          <w:p w14:paraId="10243F51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especializado en&gt;&gt;</w:t>
            </w:r>
          </w:p>
        </w:tc>
      </w:tr>
      <w:tr w:rsidR="00EF105A" w14:paraId="5BF527A0" w14:textId="77777777" w:rsidTr="005A5F22">
        <w:trPr>
          <w:trHeight w:val="81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37BC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A8ED66E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</w:t>
            </w:r>
          </w:p>
          <w:p w14:paraId="74C4F719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especializado en&gt;&gt;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882AD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FCA05C8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</w:t>
            </w:r>
          </w:p>
          <w:p w14:paraId="144CA8D1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especializado en&gt;&gt;</w:t>
            </w:r>
          </w:p>
        </w:tc>
      </w:tr>
      <w:tr w:rsidR="005A5F22" w14:paraId="592AFE6C" w14:textId="77777777" w:rsidTr="00D14409">
        <w:trPr>
          <w:trHeight w:val="266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D5822" w14:textId="732CCD9C" w:rsidR="005A5F22" w:rsidRDefault="005A5F22" w:rsidP="00147047">
            <w:pPr>
              <w:spacing w:line="240" w:lineRule="auto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A7360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Nota:</w:t>
            </w:r>
            <w:r w:rsidRPr="009A7360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A cada profesional técnico deberá de incluirse la especialidad.</w:t>
            </w:r>
          </w:p>
        </w:tc>
      </w:tr>
      <w:tr w:rsidR="00EF105A" w14:paraId="12899D3D" w14:textId="77777777" w:rsidTr="005A5F22">
        <w:trPr>
          <w:trHeight w:val="814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0CD3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B3EE37A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  <w:p w14:paraId="76A99D94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Responsable Técnico</w:t>
            </w:r>
          </w:p>
          <w:p w14:paraId="640F23EF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Especialista en……&gt;&gt;</w:t>
            </w:r>
          </w:p>
          <w:p w14:paraId="33E27AB1" w14:textId="77777777" w:rsidR="00EF105A" w:rsidRDefault="00EF105A">
            <w:pPr>
              <w:spacing w:line="240" w:lineRule="auto"/>
              <w:jc w:val="both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sz w:val="18"/>
                <w:szCs w:val="18"/>
                <w:lang w:eastAsia="es-MX"/>
              </w:rPr>
              <w:t>Nota</w:t>
            </w:r>
            <w:r>
              <w:rPr>
                <w:rFonts w:ascii="Soberana Sans Light" w:eastAsia="Times New Roman" w:hAnsi="Soberana Sans Light" w:cs="Arial"/>
                <w:bCs/>
                <w:sz w:val="18"/>
                <w:szCs w:val="18"/>
                <w:lang w:eastAsia="es-MX"/>
              </w:rPr>
              <w:t>: En caso de que participe más de un responsable técnico en el acto de verificación, se deberá incluir su nombre y firma en la presente tabla.</w:t>
            </w:r>
          </w:p>
        </w:tc>
      </w:tr>
      <w:tr w:rsidR="00EF105A" w14:paraId="7A9497A4" w14:textId="77777777" w:rsidTr="005A5F22">
        <w:trPr>
          <w:trHeight w:val="574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E4D5" w14:textId="77777777" w:rsidR="00EF105A" w:rsidRDefault="00EF105A" w:rsidP="00F54399">
            <w:pPr>
              <w:spacing w:line="240" w:lineRule="auto"/>
              <w:jc w:val="both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lastRenderedPageBreak/>
              <w:t xml:space="preserve">Declaro bajo protesta de decir verdad que los datos asentados en el presente </w:t>
            </w:r>
            <w:r w:rsidR="00F54399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>Dictamen</w:t>
            </w:r>
            <w:r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 Técnico, son verdaderos y acepto la responsabilidad que pudiera derivarse de la veracidad de los mismos, que, en su caso, procedan.</w:t>
            </w:r>
          </w:p>
        </w:tc>
      </w:tr>
      <w:tr w:rsidR="00EF105A" w14:paraId="26A08237" w14:textId="77777777" w:rsidTr="005A5F22">
        <w:trPr>
          <w:trHeight w:val="203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8A6DBC" w14:textId="59391290" w:rsidR="00EF105A" w:rsidRDefault="003D7584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sz w:val="18"/>
                <w:szCs w:val="18"/>
                <w:lang w:val="es-ES_tradnl" w:eastAsia="es-MX"/>
              </w:rPr>
              <w:t>PERSONAL DE</w:t>
            </w:r>
            <w:r w:rsidR="00EF105A"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val="es-ES_tradnl" w:eastAsia="es-MX"/>
              </w:rPr>
              <w:t>&lt;&lt;DENOMINACIÓN O RAZÓN SOCIAL DEL REGULADO</w:t>
            </w:r>
            <w:r w:rsidR="00EF105A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EF105A" w14:paraId="08DB72B7" w14:textId="77777777" w:rsidTr="005A5F22">
        <w:trPr>
          <w:trHeight w:val="679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54E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35FAC8E" w14:textId="77777777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  <w:p w14:paraId="686BC117" w14:textId="1EEFFC63" w:rsidR="00EF105A" w:rsidRDefault="00EF105A">
            <w:pPr>
              <w:spacing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val="es-ES_tradnl" w:eastAsia="es-MX"/>
              </w:rPr>
            </w:pPr>
            <w:r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val="es-ES_tradnl" w:eastAsia="es-MX"/>
              </w:rPr>
              <w:t>&lt;&lt;C. Nombre</w:t>
            </w:r>
            <w:r w:rsidR="003D7584"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val="es-ES_tradnl" w:eastAsia="es-MX"/>
              </w:rPr>
              <w:t>, cargo y firma</w:t>
            </w:r>
            <w:r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val="es-ES_tradnl" w:eastAsia="es-MX"/>
              </w:rPr>
              <w:t xml:space="preserve"> del personal del Regulado que atiende la presente verificación&gt;&gt;</w:t>
            </w:r>
          </w:p>
        </w:tc>
      </w:tr>
    </w:tbl>
    <w:p w14:paraId="65CC8469" w14:textId="77777777" w:rsidR="00EF105A" w:rsidRDefault="00EF105A" w:rsidP="00EF105A">
      <w:pPr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</w:pPr>
    </w:p>
    <w:p w14:paraId="7200973E" w14:textId="77777777" w:rsidR="001719DE" w:rsidRPr="00EF105A" w:rsidRDefault="001719DE" w:rsidP="00EF105A"/>
    <w:sectPr w:rsidR="001719DE" w:rsidRPr="00EF105A" w:rsidSect="005B1125">
      <w:headerReference w:type="default" r:id="rId8"/>
      <w:footerReference w:type="default" r:id="rId9"/>
      <w:pgSz w:w="12240" w:h="15840"/>
      <w:pgMar w:top="1134" w:right="1185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B308" w14:textId="77777777" w:rsidR="000E186C" w:rsidRDefault="000E186C" w:rsidP="00445A6B">
      <w:pPr>
        <w:spacing w:after="0" w:line="240" w:lineRule="auto"/>
      </w:pPr>
      <w:r>
        <w:separator/>
      </w:r>
    </w:p>
  </w:endnote>
  <w:endnote w:type="continuationSeparator" w:id="0">
    <w:p w14:paraId="235033AE" w14:textId="77777777" w:rsidR="000E186C" w:rsidRDefault="000E186C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berana Sans Light" w:hAnsi="Soberana Sans Light"/>
        <w:sz w:val="16"/>
        <w:szCs w:val="16"/>
      </w:rPr>
      <w:id w:val="1343438227"/>
      <w:docPartObj>
        <w:docPartGallery w:val="Page Numbers (Bottom of Page)"/>
        <w:docPartUnique/>
      </w:docPartObj>
    </w:sdtPr>
    <w:sdtEndPr/>
    <w:sdtContent>
      <w:sdt>
        <w:sdtPr>
          <w:rPr>
            <w:rFonts w:ascii="Soberana Sans Light" w:hAnsi="Soberana Sans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9287A9" w14:textId="148A6702" w:rsidR="005B1125" w:rsidRPr="005B1125" w:rsidRDefault="005B1125">
            <w:pPr>
              <w:pStyle w:val="Piedepgina"/>
              <w:jc w:val="right"/>
              <w:rPr>
                <w:rFonts w:ascii="Soberana Sans Light" w:hAnsi="Soberana Sans Light"/>
                <w:sz w:val="16"/>
                <w:szCs w:val="16"/>
              </w:rPr>
            </w:pPr>
            <w:r w:rsidRPr="005B1125">
              <w:rPr>
                <w:rFonts w:ascii="Soberana Sans Light" w:hAnsi="Soberana Sans Light"/>
                <w:sz w:val="16"/>
                <w:szCs w:val="16"/>
                <w:lang w:val="es-ES"/>
              </w:rPr>
              <w:t xml:space="preserve">Página </w:t>
            </w:r>
            <w:r w:rsidRPr="005B1125">
              <w:rPr>
                <w:rFonts w:ascii="Soberana Sans Light" w:hAnsi="Soberana Sans Light"/>
                <w:bCs/>
                <w:sz w:val="16"/>
                <w:szCs w:val="16"/>
              </w:rPr>
              <w:fldChar w:fldCharType="begin"/>
            </w:r>
            <w:r w:rsidRPr="005B1125">
              <w:rPr>
                <w:rFonts w:ascii="Soberana Sans Light" w:hAnsi="Soberana Sans Light"/>
                <w:bCs/>
                <w:sz w:val="16"/>
                <w:szCs w:val="16"/>
              </w:rPr>
              <w:instrText>PAGE</w:instrText>
            </w:r>
            <w:r w:rsidRPr="005B1125">
              <w:rPr>
                <w:rFonts w:ascii="Soberana Sans Light" w:hAnsi="Soberana Sans Light"/>
                <w:bCs/>
                <w:sz w:val="16"/>
                <w:szCs w:val="16"/>
              </w:rPr>
              <w:fldChar w:fldCharType="separate"/>
            </w:r>
            <w:r w:rsidR="004C44D7">
              <w:rPr>
                <w:rFonts w:ascii="Soberana Sans Light" w:hAnsi="Soberana Sans Light"/>
                <w:bCs/>
                <w:noProof/>
                <w:sz w:val="16"/>
                <w:szCs w:val="16"/>
              </w:rPr>
              <w:t>20</w:t>
            </w:r>
            <w:r w:rsidRPr="005B1125">
              <w:rPr>
                <w:rFonts w:ascii="Soberana Sans Light" w:hAnsi="Soberana Sans Light"/>
                <w:bCs/>
                <w:sz w:val="16"/>
                <w:szCs w:val="16"/>
              </w:rPr>
              <w:fldChar w:fldCharType="end"/>
            </w:r>
            <w:r w:rsidRPr="005B1125">
              <w:rPr>
                <w:rFonts w:ascii="Soberana Sans Light" w:hAnsi="Soberana Sans Light"/>
                <w:sz w:val="16"/>
                <w:szCs w:val="16"/>
                <w:lang w:val="es-ES"/>
              </w:rPr>
              <w:t xml:space="preserve"> de </w:t>
            </w:r>
            <w:r w:rsidRPr="005B1125">
              <w:rPr>
                <w:rFonts w:ascii="Soberana Sans Light" w:hAnsi="Soberana Sans Light"/>
                <w:bCs/>
                <w:sz w:val="16"/>
                <w:szCs w:val="16"/>
              </w:rPr>
              <w:fldChar w:fldCharType="begin"/>
            </w:r>
            <w:r w:rsidRPr="005B1125">
              <w:rPr>
                <w:rFonts w:ascii="Soberana Sans Light" w:hAnsi="Soberana Sans Light"/>
                <w:bCs/>
                <w:sz w:val="16"/>
                <w:szCs w:val="16"/>
              </w:rPr>
              <w:instrText>NUMPAGES</w:instrText>
            </w:r>
            <w:r w:rsidRPr="005B1125">
              <w:rPr>
                <w:rFonts w:ascii="Soberana Sans Light" w:hAnsi="Soberana Sans Light"/>
                <w:bCs/>
                <w:sz w:val="16"/>
                <w:szCs w:val="16"/>
              </w:rPr>
              <w:fldChar w:fldCharType="separate"/>
            </w:r>
            <w:r w:rsidR="004C44D7">
              <w:rPr>
                <w:rFonts w:ascii="Soberana Sans Light" w:hAnsi="Soberana Sans Light"/>
                <w:bCs/>
                <w:noProof/>
                <w:sz w:val="16"/>
                <w:szCs w:val="16"/>
              </w:rPr>
              <w:t>24</w:t>
            </w:r>
            <w:r w:rsidRPr="005B1125">
              <w:rPr>
                <w:rFonts w:ascii="Soberana Sans Light" w:hAnsi="Soberana Sans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AADC05" w14:textId="2EAA84A6" w:rsidR="008C3A08" w:rsidRDefault="008C3A08" w:rsidP="008C3A08">
    <w:pPr>
      <w:pStyle w:val="Piedepgina"/>
      <w:rPr>
        <w:sz w:val="18"/>
      </w:rPr>
    </w:pPr>
    <w:r>
      <w:rPr>
        <w:sz w:val="18"/>
      </w:rPr>
      <w:t>FD-AUEEN05</w:t>
    </w:r>
    <w:r>
      <w:rPr>
        <w:sz w:val="18"/>
      </w:rPr>
      <w:t>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F4F81" w14:textId="77777777" w:rsidR="000E186C" w:rsidRDefault="000E186C" w:rsidP="00445A6B">
      <w:pPr>
        <w:spacing w:after="0" w:line="240" w:lineRule="auto"/>
      </w:pPr>
      <w:r>
        <w:separator/>
      </w:r>
    </w:p>
  </w:footnote>
  <w:footnote w:type="continuationSeparator" w:id="0">
    <w:p w14:paraId="7679D193" w14:textId="77777777" w:rsidR="000E186C" w:rsidRDefault="000E186C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604"/>
      <w:gridCol w:w="3012"/>
      <w:gridCol w:w="3307"/>
    </w:tblGrid>
    <w:tr w:rsidR="006208ED" w:rsidRPr="006208ED" w14:paraId="4F1D8FC8" w14:textId="77777777" w:rsidTr="006208ED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5A80D9D5" w14:textId="77777777" w:rsidR="005A5F22" w:rsidRPr="006208ED" w:rsidRDefault="005A5F22" w:rsidP="006208ED">
          <w:pPr>
            <w:spacing w:line="259" w:lineRule="auto"/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</w:pPr>
          <w:r w:rsidRPr="006208ED"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1C319C52" w14:textId="77777777" w:rsidR="005A5F22" w:rsidRPr="006208ED" w:rsidRDefault="005A5F22" w:rsidP="00187A68">
          <w:pPr>
            <w:spacing w:line="259" w:lineRule="auto"/>
            <w:jc w:val="center"/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646A465" w14:textId="77777777" w:rsidR="005A5F22" w:rsidRPr="006208ED" w:rsidRDefault="005A5F22" w:rsidP="006208ED">
          <w:pPr>
            <w:spacing w:line="259" w:lineRule="auto"/>
            <w:jc w:val="right"/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</w:pPr>
          <w:r w:rsidRPr="006208ED"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  <w:t>[Nombre de la empresa]</w:t>
          </w:r>
        </w:p>
      </w:tc>
    </w:tr>
  </w:tbl>
  <w:p w14:paraId="3C21C45F" w14:textId="77777777" w:rsidR="005A5F22" w:rsidRDefault="005A5F22" w:rsidP="00CB4256">
    <w:pPr>
      <w:pStyle w:val="Encabezado"/>
      <w:jc w:val="right"/>
    </w:pPr>
    <w:r>
      <w:t>Clave del documento:</w:t>
    </w:r>
  </w:p>
  <w:tbl>
    <w:tblPr>
      <w:tblStyle w:val="Tablaconcuadrcula"/>
      <w:tblW w:w="9923" w:type="dxa"/>
      <w:jc w:val="center"/>
      <w:tblLook w:val="04A0" w:firstRow="1" w:lastRow="0" w:firstColumn="1" w:lastColumn="0" w:noHBand="0" w:noVBand="1"/>
    </w:tblPr>
    <w:tblGrid>
      <w:gridCol w:w="9923"/>
    </w:tblGrid>
    <w:tr w:rsidR="005A5F22" w14:paraId="59C82C3A" w14:textId="77777777" w:rsidTr="005B1125">
      <w:trPr>
        <w:jc w:val="center"/>
      </w:trPr>
      <w:tc>
        <w:tcPr>
          <w:tcW w:w="9913" w:type="dxa"/>
          <w:shd w:val="clear" w:color="auto" w:fill="D9D9D9" w:themeFill="background1" w:themeFillShade="D9"/>
        </w:tcPr>
        <w:p w14:paraId="76774CBF" w14:textId="7FA5F2DE" w:rsidR="005A5F22" w:rsidRDefault="005A5F22" w:rsidP="00573787">
          <w:pPr>
            <w:pStyle w:val="Encabezado"/>
            <w:tabs>
              <w:tab w:val="clear" w:pos="4419"/>
              <w:tab w:val="clear" w:pos="8838"/>
              <w:tab w:val="left" w:pos="6994"/>
            </w:tabs>
            <w:jc w:val="center"/>
          </w:pP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Número de Registro del Tercero </w:t>
          </w:r>
          <w:r w:rsidRPr="00573787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Autorizado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/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Tipo de documento </w:t>
          </w:r>
          <w:r w:rsidRPr="00407B06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Lista de seguimiento: LS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/ 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Número consecutivo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del tipo de documento que emiten /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código de formato conforme a su sistema de calidad</w:t>
          </w:r>
        </w:p>
      </w:tc>
    </w:tr>
  </w:tbl>
  <w:p w14:paraId="6F559C30" w14:textId="77777777" w:rsidR="005A5F22" w:rsidRDefault="005A5F22" w:rsidP="001F3697">
    <w:pPr>
      <w:pStyle w:val="Encabezado"/>
      <w:tabs>
        <w:tab w:val="clear" w:pos="4419"/>
        <w:tab w:val="clear" w:pos="8838"/>
        <w:tab w:val="left" w:pos="69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D6809"/>
    <w:multiLevelType w:val="hybridMultilevel"/>
    <w:tmpl w:val="4238D2F8"/>
    <w:lvl w:ilvl="0" w:tplc="98ACA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3F28"/>
    <w:multiLevelType w:val="hybridMultilevel"/>
    <w:tmpl w:val="50426A72"/>
    <w:lvl w:ilvl="0" w:tplc="E1A62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15BC"/>
    <w:multiLevelType w:val="hybridMultilevel"/>
    <w:tmpl w:val="73DE9D60"/>
    <w:lvl w:ilvl="0" w:tplc="C256E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1B12"/>
    <w:multiLevelType w:val="hybridMultilevel"/>
    <w:tmpl w:val="12582070"/>
    <w:lvl w:ilvl="0" w:tplc="2DD80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4B4E"/>
    <w:multiLevelType w:val="hybridMultilevel"/>
    <w:tmpl w:val="CFFC9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23AD"/>
    <w:multiLevelType w:val="hybridMultilevel"/>
    <w:tmpl w:val="E29061D2"/>
    <w:lvl w:ilvl="0" w:tplc="6868E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3896"/>
    <w:multiLevelType w:val="hybridMultilevel"/>
    <w:tmpl w:val="5F1C2E9C"/>
    <w:lvl w:ilvl="0" w:tplc="2D604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D61BE"/>
    <w:multiLevelType w:val="hybridMultilevel"/>
    <w:tmpl w:val="F60CBE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D6080"/>
    <w:multiLevelType w:val="hybridMultilevel"/>
    <w:tmpl w:val="57C6A4E0"/>
    <w:lvl w:ilvl="0" w:tplc="EA9E5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F6566"/>
    <w:multiLevelType w:val="hybridMultilevel"/>
    <w:tmpl w:val="2BCCA804"/>
    <w:lvl w:ilvl="0" w:tplc="93D4D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D3D7E"/>
    <w:multiLevelType w:val="hybridMultilevel"/>
    <w:tmpl w:val="88B613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D6398D"/>
    <w:multiLevelType w:val="hybridMultilevel"/>
    <w:tmpl w:val="BF72247A"/>
    <w:lvl w:ilvl="0" w:tplc="FD647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4F10"/>
    <w:multiLevelType w:val="hybridMultilevel"/>
    <w:tmpl w:val="AF3C1AA0"/>
    <w:lvl w:ilvl="0" w:tplc="C15441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65715E4"/>
    <w:multiLevelType w:val="hybridMultilevel"/>
    <w:tmpl w:val="43D0E0BA"/>
    <w:lvl w:ilvl="0" w:tplc="347E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1007C"/>
    <w:multiLevelType w:val="hybridMultilevel"/>
    <w:tmpl w:val="BBA670DE"/>
    <w:lvl w:ilvl="0" w:tplc="1B96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E15FB"/>
    <w:multiLevelType w:val="hybridMultilevel"/>
    <w:tmpl w:val="04348AC6"/>
    <w:lvl w:ilvl="0" w:tplc="A70E673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E723298"/>
    <w:multiLevelType w:val="hybridMultilevel"/>
    <w:tmpl w:val="4BFECEFE"/>
    <w:lvl w:ilvl="0" w:tplc="2F9CFA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8279C"/>
    <w:multiLevelType w:val="hybridMultilevel"/>
    <w:tmpl w:val="BA6AECEA"/>
    <w:lvl w:ilvl="0" w:tplc="A4EA5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0"/>
  </w:num>
  <w:num w:numId="5">
    <w:abstractNumId w:val="0"/>
  </w:num>
  <w:num w:numId="6">
    <w:abstractNumId w:val="7"/>
  </w:num>
  <w:num w:numId="7">
    <w:abstractNumId w:val="14"/>
  </w:num>
  <w:num w:numId="8">
    <w:abstractNumId w:val="21"/>
  </w:num>
  <w:num w:numId="9">
    <w:abstractNumId w:val="5"/>
  </w:num>
  <w:num w:numId="10">
    <w:abstractNumId w:val="16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3"/>
  </w:num>
  <w:num w:numId="15">
    <w:abstractNumId w:val="6"/>
  </w:num>
  <w:num w:numId="16">
    <w:abstractNumId w:val="15"/>
  </w:num>
  <w:num w:numId="17">
    <w:abstractNumId w:val="8"/>
  </w:num>
  <w:num w:numId="18">
    <w:abstractNumId w:val="19"/>
  </w:num>
  <w:num w:numId="19">
    <w:abstractNumId w:val="25"/>
  </w:num>
  <w:num w:numId="20">
    <w:abstractNumId w:val="9"/>
  </w:num>
  <w:num w:numId="21">
    <w:abstractNumId w:val="4"/>
  </w:num>
  <w:num w:numId="22">
    <w:abstractNumId w:val="1"/>
  </w:num>
  <w:num w:numId="23">
    <w:abstractNumId w:val="10"/>
  </w:num>
  <w:num w:numId="24">
    <w:abstractNumId w:val="3"/>
  </w:num>
  <w:num w:numId="25">
    <w:abstractNumId w:val="18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6D"/>
    <w:rsid w:val="00001524"/>
    <w:rsid w:val="0000199C"/>
    <w:rsid w:val="00002887"/>
    <w:rsid w:val="000033E6"/>
    <w:rsid w:val="00005E95"/>
    <w:rsid w:val="0001054B"/>
    <w:rsid w:val="000116B7"/>
    <w:rsid w:val="00011FD8"/>
    <w:rsid w:val="0002130B"/>
    <w:rsid w:val="00021AD9"/>
    <w:rsid w:val="000245D3"/>
    <w:rsid w:val="00025798"/>
    <w:rsid w:val="000273CA"/>
    <w:rsid w:val="00027A19"/>
    <w:rsid w:val="0003554E"/>
    <w:rsid w:val="000426DC"/>
    <w:rsid w:val="000451D2"/>
    <w:rsid w:val="00046441"/>
    <w:rsid w:val="000470C0"/>
    <w:rsid w:val="0005175F"/>
    <w:rsid w:val="00054D28"/>
    <w:rsid w:val="00056B64"/>
    <w:rsid w:val="00060841"/>
    <w:rsid w:val="00061250"/>
    <w:rsid w:val="00061CBB"/>
    <w:rsid w:val="00065677"/>
    <w:rsid w:val="0007055C"/>
    <w:rsid w:val="00081349"/>
    <w:rsid w:val="00083627"/>
    <w:rsid w:val="00086A3D"/>
    <w:rsid w:val="0008757C"/>
    <w:rsid w:val="00091B70"/>
    <w:rsid w:val="00092B38"/>
    <w:rsid w:val="0009530F"/>
    <w:rsid w:val="000956B0"/>
    <w:rsid w:val="000A0EBD"/>
    <w:rsid w:val="000A7CDE"/>
    <w:rsid w:val="000B1DC1"/>
    <w:rsid w:val="000B6578"/>
    <w:rsid w:val="000B7B8D"/>
    <w:rsid w:val="000B7BF9"/>
    <w:rsid w:val="000C1011"/>
    <w:rsid w:val="000C25A1"/>
    <w:rsid w:val="000C6ADD"/>
    <w:rsid w:val="000D1CE2"/>
    <w:rsid w:val="000D30FA"/>
    <w:rsid w:val="000D4FBA"/>
    <w:rsid w:val="000D62E3"/>
    <w:rsid w:val="000E186C"/>
    <w:rsid w:val="000E2BC5"/>
    <w:rsid w:val="000E40DC"/>
    <w:rsid w:val="000E752E"/>
    <w:rsid w:val="000F7D44"/>
    <w:rsid w:val="00102DC7"/>
    <w:rsid w:val="00103D05"/>
    <w:rsid w:val="00111743"/>
    <w:rsid w:val="00112C98"/>
    <w:rsid w:val="00112F35"/>
    <w:rsid w:val="00113304"/>
    <w:rsid w:val="00124069"/>
    <w:rsid w:val="00125E73"/>
    <w:rsid w:val="00126E7A"/>
    <w:rsid w:val="0012729F"/>
    <w:rsid w:val="001312E1"/>
    <w:rsid w:val="0013373C"/>
    <w:rsid w:val="0013685A"/>
    <w:rsid w:val="00137E38"/>
    <w:rsid w:val="001403C5"/>
    <w:rsid w:val="00141385"/>
    <w:rsid w:val="0014462F"/>
    <w:rsid w:val="00147047"/>
    <w:rsid w:val="00152240"/>
    <w:rsid w:val="001577E9"/>
    <w:rsid w:val="00160CF5"/>
    <w:rsid w:val="00161271"/>
    <w:rsid w:val="00170A4C"/>
    <w:rsid w:val="00170DD0"/>
    <w:rsid w:val="001719DE"/>
    <w:rsid w:val="00172487"/>
    <w:rsid w:val="00177762"/>
    <w:rsid w:val="0018000F"/>
    <w:rsid w:val="00181F69"/>
    <w:rsid w:val="0018617F"/>
    <w:rsid w:val="00187A68"/>
    <w:rsid w:val="00190DD2"/>
    <w:rsid w:val="00191328"/>
    <w:rsid w:val="0019207E"/>
    <w:rsid w:val="001A67C3"/>
    <w:rsid w:val="001A6C2D"/>
    <w:rsid w:val="001A7211"/>
    <w:rsid w:val="001A72B8"/>
    <w:rsid w:val="001A7BF7"/>
    <w:rsid w:val="001B06B2"/>
    <w:rsid w:val="001B08B7"/>
    <w:rsid w:val="001B5620"/>
    <w:rsid w:val="001B60B7"/>
    <w:rsid w:val="001C0B02"/>
    <w:rsid w:val="001C5059"/>
    <w:rsid w:val="001D1162"/>
    <w:rsid w:val="001D2197"/>
    <w:rsid w:val="001D3053"/>
    <w:rsid w:val="001D5D84"/>
    <w:rsid w:val="001E0F6B"/>
    <w:rsid w:val="001E116B"/>
    <w:rsid w:val="001E2915"/>
    <w:rsid w:val="001F1B87"/>
    <w:rsid w:val="001F261D"/>
    <w:rsid w:val="001F3487"/>
    <w:rsid w:val="001F3697"/>
    <w:rsid w:val="001F4E23"/>
    <w:rsid w:val="001F681C"/>
    <w:rsid w:val="001F7841"/>
    <w:rsid w:val="001F7D78"/>
    <w:rsid w:val="00202221"/>
    <w:rsid w:val="00202E6B"/>
    <w:rsid w:val="00211D63"/>
    <w:rsid w:val="0021526D"/>
    <w:rsid w:val="00215DEE"/>
    <w:rsid w:val="00216B56"/>
    <w:rsid w:val="00230D95"/>
    <w:rsid w:val="002316FF"/>
    <w:rsid w:val="0023275B"/>
    <w:rsid w:val="00232A7C"/>
    <w:rsid w:val="00235C8A"/>
    <w:rsid w:val="00235D1B"/>
    <w:rsid w:val="00252EE4"/>
    <w:rsid w:val="002561F5"/>
    <w:rsid w:val="0025712E"/>
    <w:rsid w:val="00260735"/>
    <w:rsid w:val="00260C06"/>
    <w:rsid w:val="00260CA0"/>
    <w:rsid w:val="002624D3"/>
    <w:rsid w:val="002723C7"/>
    <w:rsid w:val="00272E7A"/>
    <w:rsid w:val="00277801"/>
    <w:rsid w:val="00282991"/>
    <w:rsid w:val="00286EFA"/>
    <w:rsid w:val="002877BD"/>
    <w:rsid w:val="002921CB"/>
    <w:rsid w:val="00292860"/>
    <w:rsid w:val="00294F01"/>
    <w:rsid w:val="002A1B67"/>
    <w:rsid w:val="002A29F2"/>
    <w:rsid w:val="002A5179"/>
    <w:rsid w:val="002A5E4B"/>
    <w:rsid w:val="002B0395"/>
    <w:rsid w:val="002B128B"/>
    <w:rsid w:val="002B60F2"/>
    <w:rsid w:val="002B74FC"/>
    <w:rsid w:val="002C2116"/>
    <w:rsid w:val="002D266B"/>
    <w:rsid w:val="002D658E"/>
    <w:rsid w:val="002E127F"/>
    <w:rsid w:val="002E2114"/>
    <w:rsid w:val="002E313D"/>
    <w:rsid w:val="002F354F"/>
    <w:rsid w:val="002F4A17"/>
    <w:rsid w:val="00300D5A"/>
    <w:rsid w:val="00303EC9"/>
    <w:rsid w:val="00304D75"/>
    <w:rsid w:val="0030580B"/>
    <w:rsid w:val="00307B71"/>
    <w:rsid w:val="0031405B"/>
    <w:rsid w:val="00314545"/>
    <w:rsid w:val="00314EF4"/>
    <w:rsid w:val="00325D89"/>
    <w:rsid w:val="003264D0"/>
    <w:rsid w:val="00326694"/>
    <w:rsid w:val="003273A3"/>
    <w:rsid w:val="0034017E"/>
    <w:rsid w:val="00346270"/>
    <w:rsid w:val="00352494"/>
    <w:rsid w:val="00355569"/>
    <w:rsid w:val="00355772"/>
    <w:rsid w:val="003569B1"/>
    <w:rsid w:val="003577D1"/>
    <w:rsid w:val="00362D00"/>
    <w:rsid w:val="00363590"/>
    <w:rsid w:val="003661F3"/>
    <w:rsid w:val="00367ED6"/>
    <w:rsid w:val="003713B2"/>
    <w:rsid w:val="00372A79"/>
    <w:rsid w:val="00375B78"/>
    <w:rsid w:val="00376C49"/>
    <w:rsid w:val="00376FE8"/>
    <w:rsid w:val="00376FF4"/>
    <w:rsid w:val="003837E2"/>
    <w:rsid w:val="003850B5"/>
    <w:rsid w:val="003850DD"/>
    <w:rsid w:val="0039074B"/>
    <w:rsid w:val="00393589"/>
    <w:rsid w:val="0039553A"/>
    <w:rsid w:val="00397B95"/>
    <w:rsid w:val="003A2BF6"/>
    <w:rsid w:val="003A3115"/>
    <w:rsid w:val="003A4EA1"/>
    <w:rsid w:val="003B1A6B"/>
    <w:rsid w:val="003B2AF8"/>
    <w:rsid w:val="003B3163"/>
    <w:rsid w:val="003B6F75"/>
    <w:rsid w:val="003C07D7"/>
    <w:rsid w:val="003C0820"/>
    <w:rsid w:val="003C1341"/>
    <w:rsid w:val="003C34AF"/>
    <w:rsid w:val="003C5C99"/>
    <w:rsid w:val="003D370D"/>
    <w:rsid w:val="003D3E6C"/>
    <w:rsid w:val="003D7584"/>
    <w:rsid w:val="003E04F0"/>
    <w:rsid w:val="003E4A6F"/>
    <w:rsid w:val="003F7629"/>
    <w:rsid w:val="00407B06"/>
    <w:rsid w:val="0041007E"/>
    <w:rsid w:val="00412587"/>
    <w:rsid w:val="0041440A"/>
    <w:rsid w:val="00420AC1"/>
    <w:rsid w:val="00421A10"/>
    <w:rsid w:val="0042305C"/>
    <w:rsid w:val="00424729"/>
    <w:rsid w:val="004337CF"/>
    <w:rsid w:val="00437339"/>
    <w:rsid w:val="004403F8"/>
    <w:rsid w:val="00440D29"/>
    <w:rsid w:val="00445A6B"/>
    <w:rsid w:val="00447485"/>
    <w:rsid w:val="0045338F"/>
    <w:rsid w:val="004607CE"/>
    <w:rsid w:val="00462F19"/>
    <w:rsid w:val="00465E62"/>
    <w:rsid w:val="004768D8"/>
    <w:rsid w:val="00481221"/>
    <w:rsid w:val="00484092"/>
    <w:rsid w:val="004A230B"/>
    <w:rsid w:val="004A3ABB"/>
    <w:rsid w:val="004A5B9E"/>
    <w:rsid w:val="004B18FA"/>
    <w:rsid w:val="004B70B3"/>
    <w:rsid w:val="004C17D7"/>
    <w:rsid w:val="004C3A78"/>
    <w:rsid w:val="004C3C4F"/>
    <w:rsid w:val="004C4075"/>
    <w:rsid w:val="004C44D7"/>
    <w:rsid w:val="004C662F"/>
    <w:rsid w:val="004D5FB8"/>
    <w:rsid w:val="004E1E35"/>
    <w:rsid w:val="004E247C"/>
    <w:rsid w:val="004E344C"/>
    <w:rsid w:val="004F0A0F"/>
    <w:rsid w:val="004F376C"/>
    <w:rsid w:val="004F5484"/>
    <w:rsid w:val="004F7086"/>
    <w:rsid w:val="004F733E"/>
    <w:rsid w:val="005034DF"/>
    <w:rsid w:val="00504AD5"/>
    <w:rsid w:val="00505667"/>
    <w:rsid w:val="0050751B"/>
    <w:rsid w:val="005079DC"/>
    <w:rsid w:val="00507B76"/>
    <w:rsid w:val="00510BCE"/>
    <w:rsid w:val="005139E8"/>
    <w:rsid w:val="0051688B"/>
    <w:rsid w:val="0051689C"/>
    <w:rsid w:val="00516B5C"/>
    <w:rsid w:val="00516F96"/>
    <w:rsid w:val="00517271"/>
    <w:rsid w:val="005176D1"/>
    <w:rsid w:val="005230BE"/>
    <w:rsid w:val="00523636"/>
    <w:rsid w:val="005255FE"/>
    <w:rsid w:val="00534BD9"/>
    <w:rsid w:val="0053544F"/>
    <w:rsid w:val="00535EAB"/>
    <w:rsid w:val="00535F56"/>
    <w:rsid w:val="005366F3"/>
    <w:rsid w:val="0054119E"/>
    <w:rsid w:val="0054550B"/>
    <w:rsid w:val="005475E0"/>
    <w:rsid w:val="0055341B"/>
    <w:rsid w:val="00561E6E"/>
    <w:rsid w:val="0057329C"/>
    <w:rsid w:val="00573787"/>
    <w:rsid w:val="00576934"/>
    <w:rsid w:val="00580019"/>
    <w:rsid w:val="00580CEC"/>
    <w:rsid w:val="005849D0"/>
    <w:rsid w:val="00584EB7"/>
    <w:rsid w:val="005940EC"/>
    <w:rsid w:val="005A0B8D"/>
    <w:rsid w:val="005A1663"/>
    <w:rsid w:val="005A2B5F"/>
    <w:rsid w:val="005A3BE9"/>
    <w:rsid w:val="005A47D6"/>
    <w:rsid w:val="005A5F22"/>
    <w:rsid w:val="005B0326"/>
    <w:rsid w:val="005B1125"/>
    <w:rsid w:val="005B1DC0"/>
    <w:rsid w:val="005B551A"/>
    <w:rsid w:val="005C13A0"/>
    <w:rsid w:val="005C522E"/>
    <w:rsid w:val="005C763D"/>
    <w:rsid w:val="005D3358"/>
    <w:rsid w:val="005D3B5B"/>
    <w:rsid w:val="005D5915"/>
    <w:rsid w:val="005E02D3"/>
    <w:rsid w:val="005E0EB9"/>
    <w:rsid w:val="005E1012"/>
    <w:rsid w:val="005E27DC"/>
    <w:rsid w:val="005F11C2"/>
    <w:rsid w:val="005F136D"/>
    <w:rsid w:val="005F3B2C"/>
    <w:rsid w:val="005F3D3F"/>
    <w:rsid w:val="00606AD6"/>
    <w:rsid w:val="00606F56"/>
    <w:rsid w:val="0061049D"/>
    <w:rsid w:val="0061179D"/>
    <w:rsid w:val="00612647"/>
    <w:rsid w:val="00613658"/>
    <w:rsid w:val="00614599"/>
    <w:rsid w:val="0061570F"/>
    <w:rsid w:val="006208ED"/>
    <w:rsid w:val="00621A52"/>
    <w:rsid w:val="006247D5"/>
    <w:rsid w:val="00626C01"/>
    <w:rsid w:val="0063252D"/>
    <w:rsid w:val="0063574A"/>
    <w:rsid w:val="00636EA5"/>
    <w:rsid w:val="00640917"/>
    <w:rsid w:val="00643685"/>
    <w:rsid w:val="00643C1F"/>
    <w:rsid w:val="006470ED"/>
    <w:rsid w:val="006533C3"/>
    <w:rsid w:val="00662102"/>
    <w:rsid w:val="00662182"/>
    <w:rsid w:val="00670162"/>
    <w:rsid w:val="00672B7C"/>
    <w:rsid w:val="006758DC"/>
    <w:rsid w:val="00676E7F"/>
    <w:rsid w:val="00681191"/>
    <w:rsid w:val="006819BD"/>
    <w:rsid w:val="00691358"/>
    <w:rsid w:val="00692A14"/>
    <w:rsid w:val="006930C5"/>
    <w:rsid w:val="00696936"/>
    <w:rsid w:val="006A3C24"/>
    <w:rsid w:val="006A69C5"/>
    <w:rsid w:val="006B293A"/>
    <w:rsid w:val="006B6288"/>
    <w:rsid w:val="006B6F06"/>
    <w:rsid w:val="006B769A"/>
    <w:rsid w:val="006C002E"/>
    <w:rsid w:val="006D06C2"/>
    <w:rsid w:val="006D22B8"/>
    <w:rsid w:val="006D3F68"/>
    <w:rsid w:val="006E0912"/>
    <w:rsid w:val="006E0CC5"/>
    <w:rsid w:val="006E2E76"/>
    <w:rsid w:val="006E5B26"/>
    <w:rsid w:val="006E6960"/>
    <w:rsid w:val="006E7B7E"/>
    <w:rsid w:val="006F15AA"/>
    <w:rsid w:val="006F40AB"/>
    <w:rsid w:val="00721E49"/>
    <w:rsid w:val="00722887"/>
    <w:rsid w:val="00723095"/>
    <w:rsid w:val="007276D9"/>
    <w:rsid w:val="007468BE"/>
    <w:rsid w:val="0075119B"/>
    <w:rsid w:val="00753925"/>
    <w:rsid w:val="0075500C"/>
    <w:rsid w:val="00762488"/>
    <w:rsid w:val="007639AB"/>
    <w:rsid w:val="00763E1C"/>
    <w:rsid w:val="00765162"/>
    <w:rsid w:val="0077111E"/>
    <w:rsid w:val="00771897"/>
    <w:rsid w:val="00771C29"/>
    <w:rsid w:val="00772660"/>
    <w:rsid w:val="00774A14"/>
    <w:rsid w:val="00774C26"/>
    <w:rsid w:val="007759D1"/>
    <w:rsid w:val="00785B36"/>
    <w:rsid w:val="0078739D"/>
    <w:rsid w:val="007910FA"/>
    <w:rsid w:val="007A2A24"/>
    <w:rsid w:val="007A5E27"/>
    <w:rsid w:val="007B0B95"/>
    <w:rsid w:val="007B235E"/>
    <w:rsid w:val="007B4E4A"/>
    <w:rsid w:val="007B6EA8"/>
    <w:rsid w:val="007B70CF"/>
    <w:rsid w:val="007C1499"/>
    <w:rsid w:val="007C38D0"/>
    <w:rsid w:val="007C3E68"/>
    <w:rsid w:val="007C41CA"/>
    <w:rsid w:val="007C5EA5"/>
    <w:rsid w:val="007D4103"/>
    <w:rsid w:val="007D77AD"/>
    <w:rsid w:val="007E0605"/>
    <w:rsid w:val="007E4722"/>
    <w:rsid w:val="007F274D"/>
    <w:rsid w:val="007F380F"/>
    <w:rsid w:val="0080193B"/>
    <w:rsid w:val="00803151"/>
    <w:rsid w:val="00804CE1"/>
    <w:rsid w:val="00813B86"/>
    <w:rsid w:val="00813F15"/>
    <w:rsid w:val="00814152"/>
    <w:rsid w:val="0081628C"/>
    <w:rsid w:val="00823580"/>
    <w:rsid w:val="00824446"/>
    <w:rsid w:val="00825D1E"/>
    <w:rsid w:val="00830946"/>
    <w:rsid w:val="00832EAE"/>
    <w:rsid w:val="0083674F"/>
    <w:rsid w:val="00836F36"/>
    <w:rsid w:val="00837CBA"/>
    <w:rsid w:val="00841500"/>
    <w:rsid w:val="00846A7A"/>
    <w:rsid w:val="00850424"/>
    <w:rsid w:val="00850B3A"/>
    <w:rsid w:val="00852057"/>
    <w:rsid w:val="008524DA"/>
    <w:rsid w:val="00853A47"/>
    <w:rsid w:val="00857710"/>
    <w:rsid w:val="00860BE3"/>
    <w:rsid w:val="00861399"/>
    <w:rsid w:val="00861819"/>
    <w:rsid w:val="008662C1"/>
    <w:rsid w:val="00873EB3"/>
    <w:rsid w:val="00875FDE"/>
    <w:rsid w:val="008816DF"/>
    <w:rsid w:val="00883DF9"/>
    <w:rsid w:val="00892A27"/>
    <w:rsid w:val="00893EB0"/>
    <w:rsid w:val="008966A8"/>
    <w:rsid w:val="008A2A6E"/>
    <w:rsid w:val="008A354B"/>
    <w:rsid w:val="008A61FD"/>
    <w:rsid w:val="008B0F14"/>
    <w:rsid w:val="008B3B19"/>
    <w:rsid w:val="008B3CBD"/>
    <w:rsid w:val="008B3D0D"/>
    <w:rsid w:val="008B4C0C"/>
    <w:rsid w:val="008B58F2"/>
    <w:rsid w:val="008B64D0"/>
    <w:rsid w:val="008C3A08"/>
    <w:rsid w:val="008C70D1"/>
    <w:rsid w:val="008D05B8"/>
    <w:rsid w:val="008D356A"/>
    <w:rsid w:val="008D669E"/>
    <w:rsid w:val="008E135D"/>
    <w:rsid w:val="008E1D4A"/>
    <w:rsid w:val="008F3998"/>
    <w:rsid w:val="008F7320"/>
    <w:rsid w:val="00907090"/>
    <w:rsid w:val="00915C1B"/>
    <w:rsid w:val="00915EB6"/>
    <w:rsid w:val="00921E7C"/>
    <w:rsid w:val="0092262E"/>
    <w:rsid w:val="00927672"/>
    <w:rsid w:val="00930F8A"/>
    <w:rsid w:val="009351F1"/>
    <w:rsid w:val="009464FD"/>
    <w:rsid w:val="00953180"/>
    <w:rsid w:val="009543AE"/>
    <w:rsid w:val="00955CAB"/>
    <w:rsid w:val="00956AD2"/>
    <w:rsid w:val="00961060"/>
    <w:rsid w:val="00962970"/>
    <w:rsid w:val="00963020"/>
    <w:rsid w:val="009657A0"/>
    <w:rsid w:val="00965A39"/>
    <w:rsid w:val="0096651A"/>
    <w:rsid w:val="009742D1"/>
    <w:rsid w:val="009743C4"/>
    <w:rsid w:val="00981C31"/>
    <w:rsid w:val="0098496F"/>
    <w:rsid w:val="00984ADB"/>
    <w:rsid w:val="00984E7F"/>
    <w:rsid w:val="00992677"/>
    <w:rsid w:val="00993424"/>
    <w:rsid w:val="00993EF1"/>
    <w:rsid w:val="00996A66"/>
    <w:rsid w:val="009A1F61"/>
    <w:rsid w:val="009A34CC"/>
    <w:rsid w:val="009A7EB2"/>
    <w:rsid w:val="009B0057"/>
    <w:rsid w:val="009B04E0"/>
    <w:rsid w:val="009B4427"/>
    <w:rsid w:val="009C19E6"/>
    <w:rsid w:val="009C1EA3"/>
    <w:rsid w:val="009C3A22"/>
    <w:rsid w:val="009C5628"/>
    <w:rsid w:val="009D13DE"/>
    <w:rsid w:val="009D5E5F"/>
    <w:rsid w:val="009E02D5"/>
    <w:rsid w:val="009E25A6"/>
    <w:rsid w:val="009E33B2"/>
    <w:rsid w:val="009E4AD3"/>
    <w:rsid w:val="009E4D2E"/>
    <w:rsid w:val="009E5F06"/>
    <w:rsid w:val="009F5C3A"/>
    <w:rsid w:val="00A0015A"/>
    <w:rsid w:val="00A019F7"/>
    <w:rsid w:val="00A03C24"/>
    <w:rsid w:val="00A056EF"/>
    <w:rsid w:val="00A05AE4"/>
    <w:rsid w:val="00A05D73"/>
    <w:rsid w:val="00A05F55"/>
    <w:rsid w:val="00A16DA7"/>
    <w:rsid w:val="00A20D12"/>
    <w:rsid w:val="00A2134D"/>
    <w:rsid w:val="00A22DC9"/>
    <w:rsid w:val="00A27EEF"/>
    <w:rsid w:val="00A32092"/>
    <w:rsid w:val="00A32E86"/>
    <w:rsid w:val="00A37083"/>
    <w:rsid w:val="00A4022F"/>
    <w:rsid w:val="00A42701"/>
    <w:rsid w:val="00A5209E"/>
    <w:rsid w:val="00A5431F"/>
    <w:rsid w:val="00A55D84"/>
    <w:rsid w:val="00A568C4"/>
    <w:rsid w:val="00A601FA"/>
    <w:rsid w:val="00A60C4F"/>
    <w:rsid w:val="00A62837"/>
    <w:rsid w:val="00A6372E"/>
    <w:rsid w:val="00A667A3"/>
    <w:rsid w:val="00A712CD"/>
    <w:rsid w:val="00A75E3C"/>
    <w:rsid w:val="00A7609B"/>
    <w:rsid w:val="00A81E6F"/>
    <w:rsid w:val="00A82694"/>
    <w:rsid w:val="00A9710F"/>
    <w:rsid w:val="00AA5197"/>
    <w:rsid w:val="00AA577B"/>
    <w:rsid w:val="00AA6B2D"/>
    <w:rsid w:val="00AB4544"/>
    <w:rsid w:val="00AB5589"/>
    <w:rsid w:val="00AB730D"/>
    <w:rsid w:val="00AC55EC"/>
    <w:rsid w:val="00AD37E3"/>
    <w:rsid w:val="00AD37EB"/>
    <w:rsid w:val="00AE20C1"/>
    <w:rsid w:val="00AE7BE9"/>
    <w:rsid w:val="00AF322B"/>
    <w:rsid w:val="00B00C8D"/>
    <w:rsid w:val="00B00CA4"/>
    <w:rsid w:val="00B012BA"/>
    <w:rsid w:val="00B056A9"/>
    <w:rsid w:val="00B10DBA"/>
    <w:rsid w:val="00B1243E"/>
    <w:rsid w:val="00B1434F"/>
    <w:rsid w:val="00B220D6"/>
    <w:rsid w:val="00B244B4"/>
    <w:rsid w:val="00B25B0C"/>
    <w:rsid w:val="00B27163"/>
    <w:rsid w:val="00B27F76"/>
    <w:rsid w:val="00B33CA2"/>
    <w:rsid w:val="00B4080D"/>
    <w:rsid w:val="00B42247"/>
    <w:rsid w:val="00B45BA5"/>
    <w:rsid w:val="00B46EA8"/>
    <w:rsid w:val="00B51A84"/>
    <w:rsid w:val="00B544AA"/>
    <w:rsid w:val="00B60C64"/>
    <w:rsid w:val="00B61071"/>
    <w:rsid w:val="00B62541"/>
    <w:rsid w:val="00B64921"/>
    <w:rsid w:val="00B65801"/>
    <w:rsid w:val="00B71BCB"/>
    <w:rsid w:val="00B7694A"/>
    <w:rsid w:val="00B828B1"/>
    <w:rsid w:val="00B83133"/>
    <w:rsid w:val="00B83435"/>
    <w:rsid w:val="00B8486A"/>
    <w:rsid w:val="00B92E5C"/>
    <w:rsid w:val="00B97916"/>
    <w:rsid w:val="00BA0266"/>
    <w:rsid w:val="00BB03BB"/>
    <w:rsid w:val="00BB0F3F"/>
    <w:rsid w:val="00BD06C5"/>
    <w:rsid w:val="00BD29A0"/>
    <w:rsid w:val="00BD2CB2"/>
    <w:rsid w:val="00BD68AE"/>
    <w:rsid w:val="00BE2291"/>
    <w:rsid w:val="00BE4042"/>
    <w:rsid w:val="00BE4452"/>
    <w:rsid w:val="00BE6135"/>
    <w:rsid w:val="00BE6247"/>
    <w:rsid w:val="00BE6D64"/>
    <w:rsid w:val="00BE7FC1"/>
    <w:rsid w:val="00BF06DA"/>
    <w:rsid w:val="00BF5915"/>
    <w:rsid w:val="00C01B42"/>
    <w:rsid w:val="00C03C6B"/>
    <w:rsid w:val="00C101F2"/>
    <w:rsid w:val="00C10831"/>
    <w:rsid w:val="00C12580"/>
    <w:rsid w:val="00C137F9"/>
    <w:rsid w:val="00C15377"/>
    <w:rsid w:val="00C15D37"/>
    <w:rsid w:val="00C17647"/>
    <w:rsid w:val="00C20415"/>
    <w:rsid w:val="00C207F6"/>
    <w:rsid w:val="00C24A22"/>
    <w:rsid w:val="00C27ADA"/>
    <w:rsid w:val="00C31763"/>
    <w:rsid w:val="00C357FE"/>
    <w:rsid w:val="00C359D3"/>
    <w:rsid w:val="00C4106A"/>
    <w:rsid w:val="00C43180"/>
    <w:rsid w:val="00C441F5"/>
    <w:rsid w:val="00C444C2"/>
    <w:rsid w:val="00C4567E"/>
    <w:rsid w:val="00C45B43"/>
    <w:rsid w:val="00C47EE3"/>
    <w:rsid w:val="00C53A37"/>
    <w:rsid w:val="00C61652"/>
    <w:rsid w:val="00C666DA"/>
    <w:rsid w:val="00C67907"/>
    <w:rsid w:val="00C704EF"/>
    <w:rsid w:val="00C70645"/>
    <w:rsid w:val="00C71314"/>
    <w:rsid w:val="00C73B8C"/>
    <w:rsid w:val="00C73DEA"/>
    <w:rsid w:val="00C83B43"/>
    <w:rsid w:val="00C916A6"/>
    <w:rsid w:val="00C93993"/>
    <w:rsid w:val="00C9672F"/>
    <w:rsid w:val="00C96AA8"/>
    <w:rsid w:val="00CA088A"/>
    <w:rsid w:val="00CA2F04"/>
    <w:rsid w:val="00CA4C62"/>
    <w:rsid w:val="00CA61B5"/>
    <w:rsid w:val="00CA7135"/>
    <w:rsid w:val="00CA75FA"/>
    <w:rsid w:val="00CA79F9"/>
    <w:rsid w:val="00CB4256"/>
    <w:rsid w:val="00CC0D36"/>
    <w:rsid w:val="00CC4DDE"/>
    <w:rsid w:val="00CD1E0F"/>
    <w:rsid w:val="00CD3203"/>
    <w:rsid w:val="00CD6016"/>
    <w:rsid w:val="00CE39E7"/>
    <w:rsid w:val="00CF2126"/>
    <w:rsid w:val="00D029EC"/>
    <w:rsid w:val="00D02A39"/>
    <w:rsid w:val="00D05D75"/>
    <w:rsid w:val="00D06F62"/>
    <w:rsid w:val="00D123DF"/>
    <w:rsid w:val="00D13183"/>
    <w:rsid w:val="00D14409"/>
    <w:rsid w:val="00D1506E"/>
    <w:rsid w:val="00D15CB1"/>
    <w:rsid w:val="00D23DF9"/>
    <w:rsid w:val="00D24C9D"/>
    <w:rsid w:val="00D305C4"/>
    <w:rsid w:val="00D31201"/>
    <w:rsid w:val="00D41D15"/>
    <w:rsid w:val="00D44C85"/>
    <w:rsid w:val="00D45B2F"/>
    <w:rsid w:val="00D50B72"/>
    <w:rsid w:val="00D53075"/>
    <w:rsid w:val="00D624BE"/>
    <w:rsid w:val="00D6295F"/>
    <w:rsid w:val="00D63F49"/>
    <w:rsid w:val="00D65D73"/>
    <w:rsid w:val="00D75471"/>
    <w:rsid w:val="00D77C2E"/>
    <w:rsid w:val="00D81022"/>
    <w:rsid w:val="00D828BE"/>
    <w:rsid w:val="00D83A31"/>
    <w:rsid w:val="00D83A6D"/>
    <w:rsid w:val="00D87029"/>
    <w:rsid w:val="00D875C6"/>
    <w:rsid w:val="00DA0D33"/>
    <w:rsid w:val="00DA494D"/>
    <w:rsid w:val="00DA6491"/>
    <w:rsid w:val="00DB4D27"/>
    <w:rsid w:val="00DC42FC"/>
    <w:rsid w:val="00DD0AFA"/>
    <w:rsid w:val="00DD74C1"/>
    <w:rsid w:val="00DE3154"/>
    <w:rsid w:val="00DE53CE"/>
    <w:rsid w:val="00DE7F88"/>
    <w:rsid w:val="00DF46BC"/>
    <w:rsid w:val="00DF6718"/>
    <w:rsid w:val="00DF68A7"/>
    <w:rsid w:val="00DF7D5D"/>
    <w:rsid w:val="00E0166E"/>
    <w:rsid w:val="00E01DC8"/>
    <w:rsid w:val="00E05273"/>
    <w:rsid w:val="00E069AC"/>
    <w:rsid w:val="00E07C73"/>
    <w:rsid w:val="00E105A3"/>
    <w:rsid w:val="00E12F71"/>
    <w:rsid w:val="00E1561D"/>
    <w:rsid w:val="00E17DB4"/>
    <w:rsid w:val="00E17DEB"/>
    <w:rsid w:val="00E21FDF"/>
    <w:rsid w:val="00E25563"/>
    <w:rsid w:val="00E30973"/>
    <w:rsid w:val="00E31A51"/>
    <w:rsid w:val="00E35C76"/>
    <w:rsid w:val="00E36024"/>
    <w:rsid w:val="00E42B9D"/>
    <w:rsid w:val="00E459FF"/>
    <w:rsid w:val="00E506ED"/>
    <w:rsid w:val="00E52C13"/>
    <w:rsid w:val="00E551E9"/>
    <w:rsid w:val="00E57589"/>
    <w:rsid w:val="00E57C44"/>
    <w:rsid w:val="00E665DA"/>
    <w:rsid w:val="00E73123"/>
    <w:rsid w:val="00E7334D"/>
    <w:rsid w:val="00E737D1"/>
    <w:rsid w:val="00E7406A"/>
    <w:rsid w:val="00E747D2"/>
    <w:rsid w:val="00E7494D"/>
    <w:rsid w:val="00E75FF2"/>
    <w:rsid w:val="00E76797"/>
    <w:rsid w:val="00E77D5A"/>
    <w:rsid w:val="00E807C6"/>
    <w:rsid w:val="00E85549"/>
    <w:rsid w:val="00E8718F"/>
    <w:rsid w:val="00E87C97"/>
    <w:rsid w:val="00E900DE"/>
    <w:rsid w:val="00E90356"/>
    <w:rsid w:val="00E91359"/>
    <w:rsid w:val="00EA0AD0"/>
    <w:rsid w:val="00EA414C"/>
    <w:rsid w:val="00EA66B1"/>
    <w:rsid w:val="00EA6E21"/>
    <w:rsid w:val="00EB0357"/>
    <w:rsid w:val="00EB777A"/>
    <w:rsid w:val="00EC0C5F"/>
    <w:rsid w:val="00EC15A4"/>
    <w:rsid w:val="00ED42E2"/>
    <w:rsid w:val="00ED4FF2"/>
    <w:rsid w:val="00EE0A68"/>
    <w:rsid w:val="00EE6C7D"/>
    <w:rsid w:val="00EF105A"/>
    <w:rsid w:val="00EF6DE4"/>
    <w:rsid w:val="00EF6F17"/>
    <w:rsid w:val="00EF7630"/>
    <w:rsid w:val="00EF77AE"/>
    <w:rsid w:val="00F01FE5"/>
    <w:rsid w:val="00F05395"/>
    <w:rsid w:val="00F064ED"/>
    <w:rsid w:val="00F10863"/>
    <w:rsid w:val="00F10882"/>
    <w:rsid w:val="00F13121"/>
    <w:rsid w:val="00F24C6B"/>
    <w:rsid w:val="00F25758"/>
    <w:rsid w:val="00F26DF5"/>
    <w:rsid w:val="00F426CC"/>
    <w:rsid w:val="00F43D39"/>
    <w:rsid w:val="00F44649"/>
    <w:rsid w:val="00F463DF"/>
    <w:rsid w:val="00F50CD2"/>
    <w:rsid w:val="00F518DB"/>
    <w:rsid w:val="00F5289B"/>
    <w:rsid w:val="00F54399"/>
    <w:rsid w:val="00F57262"/>
    <w:rsid w:val="00F5781D"/>
    <w:rsid w:val="00F63B54"/>
    <w:rsid w:val="00F65001"/>
    <w:rsid w:val="00F66EC0"/>
    <w:rsid w:val="00F71119"/>
    <w:rsid w:val="00F73672"/>
    <w:rsid w:val="00F7700E"/>
    <w:rsid w:val="00F90BEE"/>
    <w:rsid w:val="00F92E7F"/>
    <w:rsid w:val="00F96220"/>
    <w:rsid w:val="00F97FE4"/>
    <w:rsid w:val="00FA36F2"/>
    <w:rsid w:val="00FA7A09"/>
    <w:rsid w:val="00FC08C1"/>
    <w:rsid w:val="00FC0AD6"/>
    <w:rsid w:val="00FC0D42"/>
    <w:rsid w:val="00FC6333"/>
    <w:rsid w:val="00FD23FD"/>
    <w:rsid w:val="00FD4719"/>
    <w:rsid w:val="00FE69AC"/>
    <w:rsid w:val="00FE6E8B"/>
    <w:rsid w:val="00FE7530"/>
    <w:rsid w:val="00FF0767"/>
    <w:rsid w:val="00FF1F7F"/>
    <w:rsid w:val="00FF2971"/>
    <w:rsid w:val="00FF2AC5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AF2A5"/>
  <w15:docId w15:val="{F69D2E57-304A-4A1D-B960-B9265450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05A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E76797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6797"/>
    <w:rPr>
      <w:rFonts w:ascii="Calibri" w:hAnsi="Calibri" w:cs="Calibri"/>
      <w:lang w:eastAsia="es-MX"/>
    </w:rPr>
  </w:style>
  <w:style w:type="paragraph" w:customStyle="1" w:styleId="msonormal0">
    <w:name w:val="msonormal"/>
    <w:basedOn w:val="Normal"/>
    <w:rsid w:val="00EF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E4E1-9FA1-40EE-96BF-6C24E072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24</Pages>
  <Words>5925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Angel Sanchez Garcia</cp:lastModifiedBy>
  <cp:revision>241</cp:revision>
  <cp:lastPrinted>2017-05-02T18:46:00Z</cp:lastPrinted>
  <dcterms:created xsi:type="dcterms:W3CDTF">2017-09-28T21:44:00Z</dcterms:created>
  <dcterms:modified xsi:type="dcterms:W3CDTF">2018-08-02T17:17:00Z</dcterms:modified>
</cp:coreProperties>
</file>