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93BD1" w14:textId="77777777" w:rsidR="00272A57" w:rsidRPr="00317CD9" w:rsidRDefault="00625283" w:rsidP="00625283">
      <w:pPr>
        <w:jc w:val="center"/>
        <w:rPr>
          <w:rFonts w:ascii="Montserrat Light" w:hAnsi="Montserrat Light" w:cs="Arial"/>
          <w:b/>
          <w:sz w:val="24"/>
        </w:rPr>
      </w:pPr>
      <w:r w:rsidRPr="00317CD9">
        <w:rPr>
          <w:rFonts w:ascii="Montserrat Light" w:hAnsi="Montserrat Light" w:cs="Arial"/>
          <w:b/>
          <w:sz w:val="24"/>
        </w:rPr>
        <w:t>ASEA-2021-005-006-A</w:t>
      </w:r>
    </w:p>
    <w:p w14:paraId="2728A39C" w14:textId="77777777" w:rsidR="00C868DA" w:rsidRPr="00317CD9" w:rsidRDefault="00C868DA" w:rsidP="00C868DA">
      <w:pPr>
        <w:spacing w:line="360" w:lineRule="auto"/>
        <w:jc w:val="both"/>
        <w:rPr>
          <w:rFonts w:ascii="Montserrat Light" w:hAnsi="Montserrat Light" w:cs="Arial"/>
          <w:sz w:val="24"/>
        </w:rPr>
      </w:pPr>
    </w:p>
    <w:p w14:paraId="5D1953B0" w14:textId="77777777" w:rsidR="00625283" w:rsidRPr="00317CD9" w:rsidRDefault="00625283" w:rsidP="00C868DA">
      <w:pPr>
        <w:spacing w:line="360" w:lineRule="auto"/>
        <w:jc w:val="both"/>
        <w:rPr>
          <w:rFonts w:ascii="Montserrat Light" w:hAnsi="Montserrat Light" w:cs="Arial"/>
          <w:b/>
          <w:sz w:val="24"/>
        </w:rPr>
      </w:pPr>
      <w:r w:rsidRPr="00317CD9">
        <w:rPr>
          <w:rFonts w:ascii="Montserrat Light" w:hAnsi="Montserrat Light" w:cs="Arial"/>
          <w:b/>
          <w:sz w:val="24"/>
        </w:rPr>
        <w:t>Requisitos:</w:t>
      </w:r>
    </w:p>
    <w:p w14:paraId="2FAC73BC" w14:textId="77777777" w:rsidR="00625283" w:rsidRPr="00317CD9" w:rsidRDefault="00625283" w:rsidP="00C868DA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Formato FF-ASEA-040</w:t>
      </w:r>
    </w:p>
    <w:p w14:paraId="05E0C340" w14:textId="77777777" w:rsidR="00625283" w:rsidRPr="00317CD9" w:rsidRDefault="00625283" w:rsidP="00C868DA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Escrito Libre</w:t>
      </w:r>
    </w:p>
    <w:p w14:paraId="1AAF1A76" w14:textId="77777777" w:rsidR="00C868DA" w:rsidRPr="00317CD9" w:rsidRDefault="00C868DA" w:rsidP="00C868DA">
      <w:pPr>
        <w:spacing w:line="360" w:lineRule="auto"/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Descripción:</w:t>
      </w:r>
    </w:p>
    <w:p w14:paraId="4A96DAC9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Como parte del Aviso de Inicio en Pozos de Disposición en su modalidad Operación de Inyección, se deberá adjuntar la información siguiente:</w:t>
      </w:r>
    </w:p>
    <w:p w14:paraId="18543A85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a)</w:t>
      </w:r>
      <w:r w:rsidRPr="00317CD9">
        <w:rPr>
          <w:rFonts w:ascii="Montserrat Light" w:hAnsi="Montserrat Light" w:cs="Arial"/>
          <w:sz w:val="24"/>
        </w:rPr>
        <w:tab/>
        <w:t xml:space="preserve">Escrito libre firmado por el Regulado o su representante legal, en el que manifieste bajo protesta de decir verdad que la ingeniería de detalle de la Instalación de Inyección y la Operación de Inyección es acorde con la normatividad aplicable y las mejores prácticas; </w:t>
      </w:r>
    </w:p>
    <w:p w14:paraId="7255D090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b)</w:t>
      </w:r>
      <w:r w:rsidRPr="00317CD9">
        <w:rPr>
          <w:rFonts w:ascii="Montserrat Light" w:hAnsi="Montserrat Light" w:cs="Arial"/>
          <w:sz w:val="24"/>
        </w:rPr>
        <w:tab/>
        <w:t>Escrito libre firmado por el Regulado o su representante legal, en el que manifieste bajo protesta de decir verdad que el Análisis de Riesgo de la ingeniería de detalle incluye aquellos Riesgos propios de la Instalación de Inyección y la Operación de Inyección, así como, los generados por las actividades realizadas;</w:t>
      </w:r>
    </w:p>
    <w:p w14:paraId="612F12C1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c)</w:t>
      </w:r>
      <w:r w:rsidRPr="00317CD9">
        <w:rPr>
          <w:rFonts w:ascii="Montserrat Light" w:hAnsi="Montserrat Light" w:cs="Arial"/>
          <w:sz w:val="24"/>
        </w:rPr>
        <w:tab/>
        <w:t>Análisis de Riesgo de la ingeniería de detalle que incluyan aquellos Riesgos propios y los generados por las actividades realizadas por contratistas, subcontratistas, prestadores de servicios y proveedores del Regulado;</w:t>
      </w:r>
    </w:p>
    <w:p w14:paraId="65EF6C6C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d)</w:t>
      </w:r>
      <w:r w:rsidRPr="00317CD9">
        <w:rPr>
          <w:rFonts w:ascii="Montserrat Light" w:hAnsi="Montserrat Light" w:cs="Arial"/>
          <w:sz w:val="24"/>
        </w:rPr>
        <w:tab/>
        <w:t>Programa de la Operación de Inyección, de acuerdo con lo establecido en el Artículo 45 de las presentes Disposiciones;</w:t>
      </w:r>
    </w:p>
    <w:p w14:paraId="2D1F642C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 xml:space="preserve">Artículo 45. Los Regulados deberán establecer un programa para la Operación de Inyección, el cual deberá contener como mínimo: </w:t>
      </w:r>
    </w:p>
    <w:p w14:paraId="2852A5E8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I</w:t>
      </w:r>
      <w:r w:rsidRPr="00317CD9">
        <w:rPr>
          <w:rFonts w:ascii="Montserrat Light" w:hAnsi="Montserrat Light" w:cs="Arial"/>
          <w:sz w:val="24"/>
        </w:rPr>
        <w:tab/>
      </w:r>
      <w:proofErr w:type="spellStart"/>
      <w:r w:rsidRPr="00317CD9">
        <w:rPr>
          <w:rFonts w:ascii="Montserrat Light" w:hAnsi="Montserrat Light" w:cs="Arial"/>
          <w:sz w:val="24"/>
        </w:rPr>
        <w:t>I</w:t>
      </w:r>
      <w:proofErr w:type="spellEnd"/>
      <w:r w:rsidRPr="00317CD9">
        <w:rPr>
          <w:rFonts w:ascii="Montserrat Light" w:hAnsi="Montserrat Light" w:cs="Arial"/>
          <w:sz w:val="24"/>
        </w:rPr>
        <w:t xml:space="preserve">. Profundidad total; </w:t>
      </w:r>
    </w:p>
    <w:p w14:paraId="05B3786C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II. Características del Pozo de Disposición; a) Tipo de terminación; </w:t>
      </w:r>
    </w:p>
    <w:p w14:paraId="511F711E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b) Estado mecánico; </w:t>
      </w:r>
    </w:p>
    <w:p w14:paraId="3E437A58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c) Máxima inclinación; </w:t>
      </w:r>
    </w:p>
    <w:p w14:paraId="3DB951C5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d) Columna geológica; </w:t>
      </w:r>
    </w:p>
    <w:p w14:paraId="0982B734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e) Nombre y características de la Formación Receptora propuesta; </w:t>
      </w:r>
    </w:p>
    <w:p w14:paraId="76BB080D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lastRenderedPageBreak/>
        <w:tab/>
        <w:t xml:space="preserve">f) Profundidades de asentamiento de las Tuberías de Revestimiento; </w:t>
      </w:r>
    </w:p>
    <w:p w14:paraId="0030C37A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g) Cimas de la cementación de cada etapa, y </w:t>
      </w:r>
    </w:p>
    <w:p w14:paraId="69C7D065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h) Resultados de las pruebas de integridad de formación (FIT) establecidas en el Artículo 33 de las presentes Disposiciones. </w:t>
      </w:r>
    </w:p>
    <w:p w14:paraId="3192B1EC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</w:r>
    </w:p>
    <w:p w14:paraId="63C07CEE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III. Simulación dinámica de la Operación de Inyección en la Formación Receptora; </w:t>
      </w:r>
    </w:p>
    <w:p w14:paraId="6A859A43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IV. Propuesta de los valores promedio y máximo del gasto de inyección; </w:t>
      </w:r>
    </w:p>
    <w:p w14:paraId="227BFA72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V. Propuesta de volúmenes promedio y máximos a ser inyectados; </w:t>
      </w:r>
    </w:p>
    <w:p w14:paraId="0943B5CB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VI. El promedio de la máxima presión de inyección en superficie; </w:t>
      </w:r>
    </w:p>
    <w:p w14:paraId="05A1E013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VII. Cálculo de los valores de gradiente de fractura de la Formación Receptora; </w:t>
      </w:r>
    </w:p>
    <w:p w14:paraId="2E1DFCA4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VIII. El volumen total estimado que admitirá la Formación Receptora; </w:t>
      </w:r>
    </w:p>
    <w:p w14:paraId="4F71DAD9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IX. Profundidad del Intervalo de Inyección; </w:t>
      </w:r>
    </w:p>
    <w:p w14:paraId="5DE5844E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X. Configuración del Aparejo de Inyección; </w:t>
      </w:r>
    </w:p>
    <w:p w14:paraId="49119D7F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XI. Instalaciones de Inyección para la Operación de Inyección; </w:t>
      </w:r>
    </w:p>
    <w:p w14:paraId="43D3DFF6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XII. Mecanismos para el seguimiento a la hermeticidad del Pozo de Disposición, y </w:t>
      </w:r>
    </w:p>
    <w:p w14:paraId="3243BD81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ab/>
        <w:t xml:space="preserve">XIII. Propiedades fisicoquímicas del fluido de inyección. </w:t>
      </w:r>
    </w:p>
    <w:p w14:paraId="6BC9CF3C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</w:p>
    <w:p w14:paraId="382014AD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e)</w:t>
      </w:r>
      <w:r w:rsidRPr="00317CD9">
        <w:rPr>
          <w:rFonts w:ascii="Montserrat Light" w:hAnsi="Montserrat Light" w:cs="Arial"/>
          <w:sz w:val="24"/>
        </w:rPr>
        <w:tab/>
        <w:t>Evidencia documental de las pruebas de presión realizadas y los resultados de la verificación de la hermeticidad del Pozo de Disposición, de acuerdo con lo establecido en las presentes Disposiciones;</w:t>
      </w:r>
    </w:p>
    <w:p w14:paraId="41C60FA2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f)</w:t>
      </w:r>
      <w:r w:rsidRPr="00317CD9">
        <w:rPr>
          <w:rFonts w:ascii="Montserrat Light" w:hAnsi="Montserrat Light" w:cs="Arial"/>
          <w:sz w:val="24"/>
        </w:rPr>
        <w:tab/>
        <w:t>Evidencia documental de las pruebas realizadas a la Instalación de Inyección, incluyendo como mínimo:</w:t>
      </w:r>
    </w:p>
    <w:p w14:paraId="66528B12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1.</w:t>
      </w:r>
      <w:r w:rsidRPr="00317CD9">
        <w:rPr>
          <w:rFonts w:ascii="Montserrat Light" w:hAnsi="Montserrat Light" w:cs="Arial"/>
          <w:sz w:val="24"/>
        </w:rPr>
        <w:tab/>
        <w:t>Resultado de pruebas mecánicas;</w:t>
      </w:r>
    </w:p>
    <w:p w14:paraId="07AE2DD9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2.</w:t>
      </w:r>
      <w:r w:rsidRPr="00317CD9">
        <w:rPr>
          <w:rFonts w:ascii="Montserrat Light" w:hAnsi="Montserrat Light" w:cs="Arial"/>
          <w:sz w:val="24"/>
        </w:rPr>
        <w:tab/>
        <w:t>Resultado de pruebas hidrostáticas;</w:t>
      </w:r>
    </w:p>
    <w:p w14:paraId="40219E6C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3.</w:t>
      </w:r>
      <w:r w:rsidRPr="00317CD9">
        <w:rPr>
          <w:rFonts w:ascii="Montserrat Light" w:hAnsi="Montserrat Light" w:cs="Arial"/>
          <w:sz w:val="24"/>
        </w:rPr>
        <w:tab/>
        <w:t>Resultado de pruebas funcionales, y</w:t>
      </w:r>
    </w:p>
    <w:p w14:paraId="64C75EBD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4.</w:t>
      </w:r>
      <w:r w:rsidRPr="00317CD9">
        <w:rPr>
          <w:rFonts w:ascii="Montserrat Light" w:hAnsi="Montserrat Light" w:cs="Arial"/>
          <w:sz w:val="24"/>
        </w:rPr>
        <w:tab/>
        <w:t>Lista de verificación de los equipos.</w:t>
      </w:r>
    </w:p>
    <w:p w14:paraId="4F8A59C4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lastRenderedPageBreak/>
        <w:t>g)</w:t>
      </w:r>
      <w:r w:rsidRPr="00317CD9">
        <w:rPr>
          <w:rFonts w:ascii="Montserrat Light" w:hAnsi="Montserrat Light" w:cs="Arial"/>
          <w:sz w:val="24"/>
        </w:rPr>
        <w:tab/>
        <w:t>Revisión de Seguridad Pre-arranque (RSPA), que incluya como mínimo, lo siguiente:</w:t>
      </w:r>
    </w:p>
    <w:p w14:paraId="09A29DA2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1.</w:t>
      </w:r>
      <w:r w:rsidRPr="00317CD9">
        <w:rPr>
          <w:rFonts w:ascii="Montserrat Light" w:hAnsi="Montserrat Light" w:cs="Arial"/>
          <w:sz w:val="24"/>
        </w:rPr>
        <w:tab/>
        <w:t>Lugar y fecha de inicio y terminación de la RSPA;</w:t>
      </w:r>
    </w:p>
    <w:p w14:paraId="3E85F2C5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2.</w:t>
      </w:r>
      <w:r w:rsidRPr="00317CD9">
        <w:rPr>
          <w:rFonts w:ascii="Montserrat Light" w:hAnsi="Montserrat Light" w:cs="Arial"/>
          <w:sz w:val="24"/>
        </w:rPr>
        <w:tab/>
        <w:t>Nombre, domicilio y descripción de la instalación y/o equipos revisados;</w:t>
      </w:r>
    </w:p>
    <w:p w14:paraId="33BF3BC5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3.</w:t>
      </w:r>
      <w:r w:rsidRPr="00317CD9">
        <w:rPr>
          <w:rFonts w:ascii="Montserrat Light" w:hAnsi="Montserrat Light" w:cs="Arial"/>
          <w:sz w:val="24"/>
        </w:rPr>
        <w:tab/>
        <w:t>Cumplimiento de las recomendaciones derivadas de la totalidad de Hallazgos que impiden el inicio o reinicio de operaciones;</w:t>
      </w:r>
    </w:p>
    <w:p w14:paraId="4A64C3FD" w14:textId="77777777" w:rsidR="00625283" w:rsidRPr="00317CD9" w:rsidRDefault="00625283" w:rsidP="00625283">
      <w:pPr>
        <w:jc w:val="both"/>
        <w:rPr>
          <w:rFonts w:ascii="Montserrat Light" w:hAnsi="Montserrat Light" w:cs="Arial"/>
          <w:sz w:val="24"/>
        </w:rPr>
      </w:pPr>
      <w:r w:rsidRPr="00317CD9">
        <w:rPr>
          <w:rFonts w:ascii="Montserrat Light" w:hAnsi="Montserrat Light" w:cs="Arial"/>
          <w:sz w:val="24"/>
        </w:rPr>
        <w:t>4.</w:t>
      </w:r>
      <w:r w:rsidRPr="00317CD9">
        <w:rPr>
          <w:rFonts w:ascii="Montserrat Light" w:hAnsi="Montserrat Light" w:cs="Arial"/>
          <w:sz w:val="24"/>
        </w:rPr>
        <w:tab/>
        <w:t>Programa de atención de recomendaciones de los Hallazgos que no impiden el inicio o reinicio de operaciones, en el que se estipulen los plazos y los responsables para su cumplimiento, y</w:t>
      </w:r>
    </w:p>
    <w:p w14:paraId="16BFAF6F" w14:textId="77777777" w:rsidR="00625283" w:rsidRPr="00625283" w:rsidRDefault="00625283" w:rsidP="00625283">
      <w:pPr>
        <w:jc w:val="both"/>
        <w:rPr>
          <w:rFonts w:ascii="Arial" w:hAnsi="Arial" w:cs="Arial"/>
          <w:sz w:val="24"/>
        </w:rPr>
      </w:pPr>
      <w:r w:rsidRPr="00317CD9">
        <w:rPr>
          <w:rFonts w:ascii="Montserrat Light" w:hAnsi="Montserrat Light" w:cs="Arial"/>
          <w:sz w:val="24"/>
        </w:rPr>
        <w:t>5.</w:t>
      </w:r>
      <w:r w:rsidRPr="00317CD9">
        <w:rPr>
          <w:rFonts w:ascii="Montserrat Light" w:hAnsi="Montserrat Light" w:cs="Arial"/>
          <w:sz w:val="24"/>
        </w:rPr>
        <w:tab/>
        <w:t>Escrito libre firmado por el Regulado o su representante legal, en el que manifieste bajo protesta de decir verdad que las Instalaciones de Inyección han sido revisadas y las condiciones de Seguridad Industrial, Seguridad Operativa y protección al medio ambiente para un arranque seguro han sido cumplidas.</w:t>
      </w:r>
      <w:r w:rsidRPr="00625283">
        <w:rPr>
          <w:rFonts w:ascii="Arial" w:hAnsi="Arial" w:cs="Arial"/>
          <w:sz w:val="24"/>
        </w:rPr>
        <w:tab/>
      </w:r>
    </w:p>
    <w:sectPr w:rsidR="00625283" w:rsidRPr="0062528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123CFC"/>
    <w:multiLevelType w:val="hybridMultilevel"/>
    <w:tmpl w:val="ADC8789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5283"/>
    <w:rsid w:val="00272A57"/>
    <w:rsid w:val="00317CD9"/>
    <w:rsid w:val="00625283"/>
    <w:rsid w:val="00C868DA"/>
    <w:rsid w:val="00E53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AEF772"/>
  <w15:chartTrackingRefBased/>
  <w15:docId w15:val="{8731F86F-5B31-4588-9DA9-BA5E0BB06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stiloLIZ">
    <w:name w:val="EstiloLIZ"/>
    <w:basedOn w:val="Normal"/>
    <w:link w:val="EstiloLIZCar"/>
    <w:qFormat/>
    <w:rsid w:val="00E53C6A"/>
    <w:pPr>
      <w:pBdr>
        <w:top w:val="dotted" w:sz="4" w:space="1" w:color="auto"/>
        <w:left w:val="dotted" w:sz="4" w:space="4" w:color="auto"/>
        <w:bottom w:val="dotted" w:sz="4" w:space="1" w:color="auto"/>
        <w:right w:val="dotted" w:sz="4" w:space="4" w:color="auto"/>
      </w:pBdr>
      <w:jc w:val="center"/>
    </w:pPr>
    <w:rPr>
      <w:rFonts w:ascii="Century Gothic" w:hAnsi="Century Gothic"/>
      <w:sz w:val="24"/>
    </w:rPr>
  </w:style>
  <w:style w:type="character" w:customStyle="1" w:styleId="EstiloLIZCar">
    <w:name w:val="EstiloLIZ Car"/>
    <w:basedOn w:val="Fuentedeprrafopredeter"/>
    <w:link w:val="EstiloLIZ"/>
    <w:rsid w:val="00E53C6A"/>
    <w:rPr>
      <w:rFonts w:ascii="Century Gothic" w:hAnsi="Century Gothic"/>
      <w:sz w:val="24"/>
    </w:rPr>
  </w:style>
  <w:style w:type="paragraph" w:styleId="Prrafodelista">
    <w:name w:val="List Paragraph"/>
    <w:basedOn w:val="Normal"/>
    <w:uiPriority w:val="34"/>
    <w:qFormat/>
    <w:rsid w:val="00C868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6FCA43145E6B349BCC9BDD8853E2C95" ma:contentTypeVersion="4" ma:contentTypeDescription="Crear nuevo documento." ma:contentTypeScope="" ma:versionID="dc2998da1d04d5f8e017004f87ecb9ef">
  <xsd:schema xmlns:xsd="http://www.w3.org/2001/XMLSchema" xmlns:xs="http://www.w3.org/2001/XMLSchema" xmlns:p="http://schemas.microsoft.com/office/2006/metadata/properties" xmlns:ns2="eb47b3fe-5017-468a-97cc-66a8972f2915" xmlns:ns3="2ed0566c-f3dd-4d39-95a5-1f459d3163e0" targetNamespace="http://schemas.microsoft.com/office/2006/metadata/properties" ma:root="true" ma:fieldsID="248b3373d9810d60d6abf4d9c08870c0" ns2:_="" ns3:_="">
    <xsd:import namespace="eb47b3fe-5017-468a-97cc-66a8972f2915"/>
    <xsd:import namespace="2ed0566c-f3dd-4d39-95a5-1f459d3163e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47b3fe-5017-468a-97cc-66a8972f291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d0566c-f3dd-4d39-95a5-1f459d3163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E453D0E-85C5-43AE-96B8-116A44F49918}"/>
</file>

<file path=customXml/itemProps2.xml><?xml version="1.0" encoding="utf-8"?>
<ds:datastoreItem xmlns:ds="http://schemas.openxmlformats.org/officeDocument/2006/customXml" ds:itemID="{7E07D1D6-C4F1-4AA0-BFE5-AF04DD940670}"/>
</file>

<file path=customXml/itemProps3.xml><?xml version="1.0" encoding="utf-8"?>
<ds:datastoreItem xmlns:ds="http://schemas.openxmlformats.org/officeDocument/2006/customXml" ds:itemID="{55ACCB68-A862-40F5-BBFF-55FF168D85E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585</Words>
  <Characters>3223</Characters>
  <Application>Microsoft Office Word</Application>
  <DocSecurity>4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Lizz</dc:creator>
  <cp:keywords/>
  <dc:description/>
  <cp:lastModifiedBy>Erika Janeth Perez Muñoz</cp:lastModifiedBy>
  <cp:revision>2</cp:revision>
  <dcterms:created xsi:type="dcterms:W3CDTF">2021-10-14T15:44:00Z</dcterms:created>
  <dcterms:modified xsi:type="dcterms:W3CDTF">2021-10-14T15:44:00Z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0x01010086FCA43145E6B349BCC9BDD8853E2C95</vt:lpwstr>
  </property>
</Properties>
</file>