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7777777" w:rsidR="00E07440" w:rsidRPr="0071046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ASEA-2021-005-005-A</w:t>
      </w:r>
    </w:p>
    <w:p w14:paraId="6D296EC3" w14:textId="77777777" w:rsidR="001F073E" w:rsidRPr="0071046A" w:rsidRDefault="001F073E" w:rsidP="001F073E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Aviso de conclusión en Pozos de Disposición.</w:t>
      </w:r>
      <w:r w:rsidRPr="0071046A">
        <w:rPr>
          <w:rFonts w:ascii="Montserrat Light" w:hAnsi="Montserrat Light" w:cs="Cambria"/>
          <w:color w:val="000000" w:themeColor="text1"/>
          <w:sz w:val="20"/>
          <w:szCs w:val="20"/>
        </w:rPr>
        <w:t> </w:t>
      </w:r>
      <w:r w:rsidRPr="0071046A">
        <w:rPr>
          <w:rFonts w:ascii="Montserrat Light" w:hAnsi="Montserrat Light"/>
          <w:b w:val="0"/>
          <w:bCs w:val="0"/>
          <w:color w:val="000000" w:themeColor="text1"/>
          <w:sz w:val="20"/>
          <w:szCs w:val="20"/>
        </w:rPr>
        <w:t>Construcción de Pozos de Disposición</w:t>
      </w:r>
    </w:p>
    <w:p w14:paraId="20B5C37A" w14:textId="3A91D8E6" w:rsidR="001F78E2" w:rsidRPr="0071046A" w:rsidRDefault="001F78E2" w:rsidP="007D477A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2463CDD1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818F350" w14:textId="77777777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71046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71046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71046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0A0D5938" w14:textId="74CCD668" w:rsidR="001F78E2" w:rsidRPr="0071046A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Aviso que deben entregar los Regulados a la Agencia acorde a lo estipulado en el 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artículo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 80 de las Disposiciones Administrativas de Car</w:t>
      </w:r>
      <w:r w:rsidRPr="0071046A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á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cter General aplicables a Pozos de Disposici</w:t>
      </w:r>
      <w:r w:rsidRPr="0071046A">
        <w:rPr>
          <w:rFonts w:ascii="Montserrat Light" w:hAnsi="Montserrat Light" w:cs="Montserrat"/>
          <w:color w:val="000000" w:themeColor="text1"/>
          <w:sz w:val="20"/>
          <w:szCs w:val="20"/>
          <w:shd w:val="clear" w:color="auto" w:fill="FFFFFF"/>
        </w:rPr>
        <w:t>ó</w:t>
      </w:r>
      <w:r w:rsidRPr="0071046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n, dentro de los 15 días hábiles posteriores a la conclusión de la Construcción de Pozos de Disposición.</w:t>
      </w:r>
    </w:p>
    <w:p w14:paraId="714A4811" w14:textId="77777777" w:rsidR="001F073E" w:rsidRPr="001F78E2" w:rsidRDefault="001F073E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color w:val="000000" w:themeColor="text1"/>
          <w:sz w:val="20"/>
          <w:szCs w:val="20"/>
        </w:rPr>
        <w:t>Requisitos:</w:t>
      </w:r>
    </w:p>
    <w:p w14:paraId="5765A043" w14:textId="70C20A2C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72871193" w14:textId="13BA78F7" w:rsidR="001F78E2" w:rsidRPr="0071046A" w:rsidRDefault="008E73AD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Informe de Construcción de Pozo de Disposición</w:t>
      </w:r>
    </w:p>
    <w:p w14:paraId="1FE60F4A" w14:textId="77777777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Cambria"/>
          <w:color w:val="000000" w:themeColor="text1"/>
          <w:sz w:val="20"/>
          <w:szCs w:val="20"/>
          <w:lang w:eastAsia="es-MX"/>
        </w:rPr>
      </w:pPr>
    </w:p>
    <w:p w14:paraId="364250B2" w14:textId="26FB7AAB" w:rsidR="001F78E2" w:rsidRPr="0071046A" w:rsidRDefault="001F78E2" w:rsidP="007D477A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Formato FF-ASEA-04</w:t>
      </w:r>
      <w:r w:rsidR="008E73AD" w:rsidRPr="0071046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</w:t>
      </w:r>
    </w:p>
    <w:p w14:paraId="038E9C6A" w14:textId="111350F9" w:rsidR="001F78E2" w:rsidRPr="0071046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71046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2106F404" w14:textId="77777777" w:rsidR="0071046A" w:rsidRPr="0071046A" w:rsidRDefault="0071046A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E32B70B" w14:textId="77777777" w:rsidR="001F78E2" w:rsidRPr="0071046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2D16185B" w14:textId="458243CF" w:rsidR="001F78E2" w:rsidRPr="001F78E2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  <w:r w:rsidRPr="0071046A">
        <w:rPr>
          <w:rStyle w:val="Textoennegrita"/>
          <w:rFonts w:ascii="Montserrat Light" w:hAnsi="Montserrat Light" w:cs="Cambria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history="1">
        <w:r w:rsidR="00F34554" w:rsidRPr="0071046A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http://104.209.210.233/gobmx/repositorio/DIAGNOSTICO_DE_ACCESIBILIDAD/UNR/FF-ASEA-041_Aviso_de_Conclusion_en_Pozos_de_Disposicion.pdf</w:t>
        </w:r>
      </w:hyperlink>
      <w:r w:rsidR="007D477A" w:rsidRP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  <w:r w:rsid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p w14:paraId="5F0D2009" w14:textId="7AA52A30" w:rsidR="001F78E2" w:rsidRPr="0071046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77777777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de trámites o solicitudes de los Regulados será de lunes a viernes de las 9:30 a las 15:00 horas b) La entrega de notificaciones relacionadas con sus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>trámites o solicitudes tendrá un horario de atención de lunes a viernes de 9:30 a 15:00 horas y de 16:00 a 18:00 horas</w:t>
      </w:r>
    </w:p>
    <w:p w14:paraId="2D5063C2" w14:textId="04E9FA93" w:rsidR="001F78E2" w:rsidRPr="0071046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71046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71046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58EBCA81" w:rsidR="007D477A" w:rsidRPr="0071046A" w:rsidRDefault="0071046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71046A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https://catalogonacional.gob.mx/FichaTramite?traHomoclave=ASEA-2021-005-005-A</w:t>
        </w:r>
      </w:hyperlink>
      <w:r w:rsidRPr="0071046A"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7B5"/>
    <w:multiLevelType w:val="hybridMultilevel"/>
    <w:tmpl w:val="16E232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5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1_Aviso_de_Conclusion_en_Pozos_de_Disposicion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4CF001-0D4E-4624-AACD-0FB0205683EE}"/>
</file>

<file path=customXml/itemProps2.xml><?xml version="1.0" encoding="utf-8"?>
<ds:datastoreItem xmlns:ds="http://schemas.openxmlformats.org/officeDocument/2006/customXml" ds:itemID="{861616D9-297D-4B21-A1FB-B04AD1ABA5A3}"/>
</file>

<file path=customXml/itemProps3.xml><?xml version="1.0" encoding="utf-8"?>
<ds:datastoreItem xmlns:ds="http://schemas.openxmlformats.org/officeDocument/2006/customXml" ds:itemID="{D7069427-A139-49EB-BC62-D48C40729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2021-10-13T21:47:00Z</dcterms:created>
  <dcterms:modified xsi:type="dcterms:W3CDTF">2021-10-13T21:47:00Z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