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F0" w:rsidRPr="007205F0" w:rsidRDefault="007205F0" w:rsidP="007205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7205F0" w:rsidRDefault="007205F0" w:rsidP="007205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1A53C3" w:rsidRDefault="001A53C3" w:rsidP="007205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1A53C3" w:rsidRPr="007205F0" w:rsidRDefault="001A53C3" w:rsidP="001A5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7205F0" w:rsidRPr="007205F0" w:rsidRDefault="007205F0" w:rsidP="007205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7205F0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ARTÍCULO 3. </w:t>
      </w:r>
      <w:r w:rsidRPr="00212F4F">
        <w:rPr>
          <w:rFonts w:ascii="Arial" w:hAnsi="Arial" w:cs="Arial"/>
          <w:color w:val="2F2F2F"/>
          <w:szCs w:val="17"/>
        </w:rPr>
        <w:t>La Agencia estará a cargo de un Director Ejecutivo a quien originalmente le corresponde la representación,</w:t>
      </w:r>
      <w:r w:rsidR="001A53C3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trámite y resolución de los asuntos competencia de la Agencia, para lo cual podrá ejercer de manera directa las atribuciones que</w:t>
      </w:r>
      <w:r w:rsidR="001A53C3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el presente Reglamento confiere a sus unidades administrativas.</w:t>
      </w:r>
    </w:p>
    <w:p w:rsidR="001A53C3" w:rsidRPr="00212F4F" w:rsidRDefault="001A53C3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</w:p>
    <w:p w:rsidR="007205F0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color w:val="2F2F2F"/>
          <w:szCs w:val="17"/>
        </w:rPr>
        <w:t>El Director Ejecutivo tendrá las siguientes facultades:</w:t>
      </w:r>
    </w:p>
    <w:p w:rsidR="001A53C3" w:rsidRPr="00212F4F" w:rsidRDefault="001A53C3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I. </w:t>
      </w:r>
      <w:r w:rsidRPr="00212F4F">
        <w:rPr>
          <w:rFonts w:ascii="Arial" w:hAnsi="Arial" w:cs="Arial"/>
          <w:color w:val="2F2F2F"/>
          <w:szCs w:val="17"/>
        </w:rPr>
        <w:t>Dirigir, administrar y representar legalmente a la Agencia, con la suma de facultades generales y especiales, incluyendo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facultades para actos de administración y de dominio que, en su caso, requiera conforme a la legislación aplicable;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II. </w:t>
      </w:r>
      <w:r w:rsidRPr="00212F4F">
        <w:rPr>
          <w:rFonts w:ascii="Arial" w:hAnsi="Arial" w:cs="Arial"/>
          <w:color w:val="2F2F2F"/>
          <w:szCs w:val="17"/>
        </w:rPr>
        <w:t>Aportar a las autoridades competentes, los elementos técnicos sobre seguridad industrial, seguridad operativa y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protección al medio ambiente, para las políticas energética y ambiental del país, así como para la formulación de los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programas sectoriales en esas materias;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III. </w:t>
      </w:r>
      <w:r w:rsidRPr="00212F4F">
        <w:rPr>
          <w:rFonts w:ascii="Arial" w:hAnsi="Arial" w:cs="Arial"/>
          <w:color w:val="2F2F2F"/>
          <w:szCs w:val="17"/>
        </w:rPr>
        <w:t>Participar con las unidades administrativas competentes de la Secretaría y con la Secretaría de Energía en el desarrollo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de la Evaluación Estratégica del Sector;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IV. </w:t>
      </w:r>
      <w:r w:rsidRPr="00212F4F">
        <w:rPr>
          <w:rFonts w:ascii="Arial" w:hAnsi="Arial" w:cs="Arial"/>
          <w:color w:val="2F2F2F"/>
          <w:szCs w:val="17"/>
        </w:rPr>
        <w:t>Dirigir la participación de la Agencia con los distintos órdenes de gobierno, dependencias y entidades competentes, en el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diseño y atención de los planes nacionales e internacionales para prevenir y atender situaciones de emergencia en las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actividades del Sector;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V. </w:t>
      </w:r>
      <w:r w:rsidRPr="00212F4F">
        <w:rPr>
          <w:rFonts w:ascii="Arial" w:hAnsi="Arial" w:cs="Arial"/>
          <w:color w:val="2F2F2F"/>
          <w:szCs w:val="17"/>
        </w:rPr>
        <w:t>Expedir las reglas y disposiciones de carácter general en materia de seguridad industrial y seguridad operativa,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incluyendo las etapas de desmantelamiento y abandono de las instalaciones, así como de control integral de los residuos y las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emisiones a la atmósfera;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VI. </w:t>
      </w:r>
      <w:r w:rsidRPr="00212F4F">
        <w:rPr>
          <w:rFonts w:ascii="Arial" w:hAnsi="Arial" w:cs="Arial"/>
          <w:color w:val="2F2F2F"/>
          <w:szCs w:val="17"/>
        </w:rPr>
        <w:t>Expedir las reglas y disposiciones de carácter general relativas a la conformación, operación e implementación de los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Sistemas de Administración a cargo de los Regulados, incluyendo aquéllas que regulen a las áreas responsables de la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evaluación, implementación y mejora del sistema a que se refiere el artículo 16 de la Ley;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VII. </w:t>
      </w:r>
      <w:r w:rsidRPr="00212F4F">
        <w:rPr>
          <w:rFonts w:ascii="Arial" w:hAnsi="Arial" w:cs="Arial"/>
          <w:color w:val="2F2F2F"/>
          <w:szCs w:val="17"/>
        </w:rPr>
        <w:t>Emitir las medidas técnicas que deben incluirse en los protocolos de actuación para la atención de emergencias o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situaciones de riesgo crítico del Sector o aquéllas que puedan ocasionar un daño grave a las personas o a los bienes en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materia de seguridad industrial, seguridad operativa y protección al medio ambiente;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VIII. </w:t>
      </w:r>
      <w:r w:rsidRPr="00212F4F">
        <w:rPr>
          <w:rFonts w:ascii="Arial" w:hAnsi="Arial" w:cs="Arial"/>
          <w:color w:val="2F2F2F"/>
          <w:szCs w:val="17"/>
        </w:rPr>
        <w:t>Emitir las bases y criterios para que los Regulados adopten las mejores prácticas de seguridad industrial, seguridad</w:t>
      </w:r>
      <w:r w:rsidR="00431CD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operativa y protección al medio ambiente que resulten aplicables a las actividades del Sector;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IX. </w:t>
      </w:r>
      <w:r w:rsidRPr="00212F4F">
        <w:rPr>
          <w:rFonts w:ascii="Arial" w:hAnsi="Arial" w:cs="Arial"/>
          <w:color w:val="2F2F2F"/>
          <w:szCs w:val="17"/>
        </w:rPr>
        <w:t>Determinar la planeación estratégica y el modelo de administración por procesos de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X. </w:t>
      </w:r>
      <w:r w:rsidRPr="00212F4F">
        <w:rPr>
          <w:rFonts w:ascii="Arial" w:hAnsi="Arial" w:cs="Arial"/>
          <w:color w:val="2F2F2F"/>
          <w:szCs w:val="17"/>
        </w:rPr>
        <w:t>Expedir las reglas de carácter general que establezcan las bases para que los Regulados lleven a cabo las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investigaciones de causa raíz en caso de incidentes y accidentes, operativos, industriales y medioambientales;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XI. </w:t>
      </w:r>
      <w:r w:rsidRPr="00212F4F">
        <w:rPr>
          <w:rFonts w:ascii="Arial" w:hAnsi="Arial" w:cs="Arial"/>
          <w:color w:val="2F2F2F"/>
          <w:szCs w:val="17"/>
        </w:rPr>
        <w:t>Definir, y en su caso expedir los mecanismos a través de los cuales los Regulados deberán informar sobre los siniestros,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accidentes, incidentes, emergencias, fugas y derrames vinculados con las actividades del Sector;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XII. </w:t>
      </w:r>
      <w:r w:rsidRPr="00212F4F">
        <w:rPr>
          <w:rFonts w:ascii="Arial" w:hAnsi="Arial" w:cs="Arial"/>
          <w:color w:val="2F2F2F"/>
          <w:szCs w:val="17"/>
        </w:rPr>
        <w:t>Promover la colaboración entre Regulados con el objetivo de optimizar el uso de recursos para la atención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contingencias, emergencias, prevención y mitigación de riesgos;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XIII. </w:t>
      </w:r>
      <w:r w:rsidRPr="00212F4F">
        <w:rPr>
          <w:rFonts w:ascii="Arial" w:hAnsi="Arial" w:cs="Arial"/>
          <w:color w:val="2F2F2F"/>
          <w:szCs w:val="17"/>
        </w:rPr>
        <w:t>Definir las estrategias de certificación en seguridad industrial, seguridad operativa y protección al medio ambiente, en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 xml:space="preserve">relación con el cumplimiento de la normatividad y </w:t>
      </w:r>
      <w:r w:rsidRPr="00212F4F">
        <w:rPr>
          <w:rFonts w:ascii="Arial" w:hAnsi="Arial" w:cs="Arial"/>
          <w:color w:val="2F2F2F"/>
          <w:szCs w:val="17"/>
        </w:rPr>
        <w:lastRenderedPageBreak/>
        <w:t>estándares de desempeño, con base en el principio de autogestión y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conforme a los requisitos técnicos que para tal efecto establezca;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XIV. </w:t>
      </w:r>
      <w:r w:rsidRPr="00212F4F">
        <w:rPr>
          <w:rFonts w:ascii="Arial" w:hAnsi="Arial" w:cs="Arial"/>
          <w:color w:val="2F2F2F"/>
          <w:szCs w:val="17"/>
        </w:rPr>
        <w:t>Emitir las reglas de carácter general en materia de seguridad industrial y seguridad operativa para la realización de las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actividades de captura, exploración, extracción, transporte e inyección industrial de bióxido de carbono, que se realizan con el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color w:val="2F2F2F"/>
          <w:szCs w:val="17"/>
        </w:rPr>
        <w:t>fin de mejorar la producción de hidrocarburos, así como las normas oficiales mexicanas que correspondan en materia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protección al medio ambiente;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XV. </w:t>
      </w:r>
      <w:r w:rsidRPr="00212F4F">
        <w:rPr>
          <w:rFonts w:ascii="Arial" w:hAnsi="Arial" w:cs="Arial"/>
          <w:color w:val="2F2F2F"/>
          <w:szCs w:val="17"/>
        </w:rPr>
        <w:t xml:space="preserve">Expedir </w:t>
      </w:r>
      <w:proofErr w:type="gramStart"/>
      <w:r w:rsidRPr="00212F4F">
        <w:rPr>
          <w:rFonts w:ascii="Arial" w:hAnsi="Arial" w:cs="Arial"/>
          <w:color w:val="2F2F2F"/>
          <w:szCs w:val="17"/>
        </w:rPr>
        <w:t>la reglas</w:t>
      </w:r>
      <w:proofErr w:type="gramEnd"/>
      <w:r w:rsidRPr="00212F4F">
        <w:rPr>
          <w:rFonts w:ascii="Arial" w:hAnsi="Arial" w:cs="Arial"/>
          <w:color w:val="2F2F2F"/>
          <w:szCs w:val="17"/>
        </w:rPr>
        <w:t xml:space="preserve"> de carácter general para la producción, transporte, almacenamiento y distribución industrial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biocombustibles, cuando estas actividades estén directamente vinculadas al proceso de mezclado o preparación de gasolinas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y/o diésel, en relación con las materias de su competencia, en coordinación, en su caso, con otras autoridades competentes y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atendiendo a las disposiciones normativas aplicables;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XVI. </w:t>
      </w:r>
      <w:r w:rsidRPr="00212F4F">
        <w:rPr>
          <w:rFonts w:ascii="Arial" w:hAnsi="Arial" w:cs="Arial"/>
          <w:color w:val="2F2F2F"/>
          <w:szCs w:val="17"/>
        </w:rPr>
        <w:t>Coordinar los estudios de valoración económica de las externalidades ambientales y riesgos asociados a las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instalaciones, actividades y operación del Sector, con base en una metodología que tome en cuenta las mejores prácticas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internacionales;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>XVII.</w:t>
      </w:r>
      <w:r w:rsidR="001A53C3">
        <w:rPr>
          <w:rFonts w:ascii="Arial" w:hAnsi="Arial" w:cs="Arial"/>
          <w:b/>
          <w:bCs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Impulsar un desarrollo regional sustentable y exigir que las actividades relacionadas con el Sector se realicen, entre otras,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con apego a la protección, conservación, compensación y restauración de los ecosistemas, flora y fauna silvestres, bienes y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servicios ambientales, en coordinación con las unidades administrativas competentes de la Secretaría;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XVIII. </w:t>
      </w:r>
      <w:r w:rsidRPr="00212F4F">
        <w:rPr>
          <w:rFonts w:ascii="Arial" w:hAnsi="Arial" w:cs="Arial"/>
          <w:color w:val="2F2F2F"/>
          <w:szCs w:val="17"/>
        </w:rPr>
        <w:t>Proporcionar el apoyo técnico que soliciten las dependencias y entidades de la Administración Pública Federal,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en el ámbito de su competencia;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XIX. </w:t>
      </w:r>
      <w:r w:rsidRPr="00212F4F">
        <w:rPr>
          <w:rFonts w:ascii="Arial" w:hAnsi="Arial" w:cs="Arial"/>
          <w:color w:val="2F2F2F"/>
          <w:szCs w:val="17"/>
        </w:rPr>
        <w:t>Remitir al Titular de la Secretaría la información relativa a las normas oficiales mexicanas del Sector para su inclusión en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el Programa Nacional de Normalización correspondiente, así como para sus suplementos;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XX. </w:t>
      </w:r>
      <w:r w:rsidRPr="00212F4F">
        <w:rPr>
          <w:rFonts w:ascii="Arial" w:hAnsi="Arial" w:cs="Arial"/>
          <w:color w:val="2F2F2F"/>
          <w:szCs w:val="17"/>
        </w:rPr>
        <w:t>Expedir las normas oficiales mexicanas en materia de competencia de la Agencia y, en su caso, los acuerdos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modificación y avisos de cancelación o prórroga;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XXI. </w:t>
      </w:r>
      <w:r w:rsidRPr="00212F4F">
        <w:rPr>
          <w:rFonts w:ascii="Arial" w:hAnsi="Arial" w:cs="Arial"/>
          <w:color w:val="2F2F2F"/>
          <w:szCs w:val="17"/>
        </w:rPr>
        <w:t>Proponer al Titular del Ejecutivo Federal, por conducto de la Secretaría, el anteproyecto de Reglamento Interior de la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>XXII.</w:t>
      </w:r>
      <w:r w:rsidR="001A53C3">
        <w:rPr>
          <w:rFonts w:ascii="Arial" w:hAnsi="Arial" w:cs="Arial"/>
          <w:b/>
          <w:bCs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Designar a los servidores públicos que deban ejercer las facultades que las disposiciones jurídicas confieran a la Agencia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y que no estén previstas en este Reglamento;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XXIII. </w:t>
      </w:r>
      <w:r w:rsidRPr="00212F4F">
        <w:rPr>
          <w:rFonts w:ascii="Arial" w:hAnsi="Arial" w:cs="Arial"/>
          <w:color w:val="2F2F2F"/>
          <w:szCs w:val="17"/>
        </w:rPr>
        <w:t>Nombrar y remover libremente a los servidores públicos de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XXIV. </w:t>
      </w:r>
      <w:r w:rsidRPr="00212F4F">
        <w:rPr>
          <w:rFonts w:ascii="Arial" w:hAnsi="Arial" w:cs="Arial"/>
          <w:color w:val="2F2F2F"/>
          <w:szCs w:val="17"/>
        </w:rPr>
        <w:t>Expedir los nombramientos de los Jefes de Unidad y Directores Generales de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>XXV.</w:t>
      </w:r>
      <w:r w:rsidR="001A53C3">
        <w:rPr>
          <w:rFonts w:ascii="Arial" w:hAnsi="Arial" w:cs="Arial"/>
          <w:b/>
          <w:bCs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Presentar el anteproyecto de presupuesto anual ante la Secretaría para su entrega a la Secretaría de Hacienda y Crédito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Público;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XXVI. </w:t>
      </w:r>
      <w:r w:rsidRPr="00212F4F">
        <w:rPr>
          <w:rFonts w:ascii="Arial" w:hAnsi="Arial" w:cs="Arial"/>
          <w:color w:val="2F2F2F"/>
          <w:szCs w:val="17"/>
        </w:rPr>
        <w:t>Autorizar y ejercer el presupuesto asignado a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XXVII. </w:t>
      </w:r>
      <w:r w:rsidRPr="00212F4F">
        <w:rPr>
          <w:rFonts w:ascii="Arial" w:hAnsi="Arial" w:cs="Arial"/>
          <w:color w:val="2F2F2F"/>
          <w:szCs w:val="17"/>
        </w:rPr>
        <w:t>Presentar al Consejo Técnico el informe anual sobre las actividades de la Agencia y, una vez aprobado,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publicarlo en los medios de difusión que permitan la mayor publicidad del mismo;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XXVIII. </w:t>
      </w:r>
      <w:r w:rsidRPr="00212F4F">
        <w:rPr>
          <w:rFonts w:ascii="Arial" w:hAnsi="Arial" w:cs="Arial"/>
          <w:color w:val="2F2F2F"/>
          <w:szCs w:val="17"/>
        </w:rPr>
        <w:t xml:space="preserve">Presidir el Comité Técnico del Fideicomiso de manera directa o por conducto del </w:t>
      </w:r>
      <w:proofErr w:type="gramStart"/>
      <w:r w:rsidRPr="00212F4F">
        <w:rPr>
          <w:rFonts w:ascii="Arial" w:hAnsi="Arial" w:cs="Arial"/>
          <w:color w:val="2F2F2F"/>
          <w:szCs w:val="17"/>
        </w:rPr>
        <w:t>Jefe</w:t>
      </w:r>
      <w:proofErr w:type="gramEnd"/>
      <w:r w:rsidRPr="00212F4F">
        <w:rPr>
          <w:rFonts w:ascii="Arial" w:hAnsi="Arial" w:cs="Arial"/>
          <w:color w:val="2F2F2F"/>
          <w:szCs w:val="17"/>
        </w:rPr>
        <w:t xml:space="preserve"> de la Unidad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Administración y Finanzas;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XXIX. </w:t>
      </w:r>
      <w:r w:rsidRPr="00212F4F">
        <w:rPr>
          <w:rFonts w:ascii="Arial" w:hAnsi="Arial" w:cs="Arial"/>
          <w:color w:val="2F2F2F"/>
          <w:szCs w:val="17"/>
        </w:rPr>
        <w:t>Coordinar la operación del Fideicomiso;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>XXX.</w:t>
      </w:r>
      <w:r w:rsidR="001A53C3">
        <w:rPr>
          <w:rFonts w:ascii="Arial" w:hAnsi="Arial" w:cs="Arial"/>
          <w:b/>
          <w:bCs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 xml:space="preserve">Instruir al </w:t>
      </w:r>
      <w:proofErr w:type="gramStart"/>
      <w:r w:rsidRPr="00212F4F">
        <w:rPr>
          <w:rFonts w:ascii="Arial" w:hAnsi="Arial" w:cs="Arial"/>
          <w:color w:val="2F2F2F"/>
          <w:szCs w:val="17"/>
        </w:rPr>
        <w:t>Jefe</w:t>
      </w:r>
      <w:proofErr w:type="gramEnd"/>
      <w:r w:rsidRPr="00212F4F">
        <w:rPr>
          <w:rFonts w:ascii="Arial" w:hAnsi="Arial" w:cs="Arial"/>
          <w:color w:val="2F2F2F"/>
          <w:szCs w:val="17"/>
        </w:rPr>
        <w:t xml:space="preserve"> de la Unidad de Administración y Finanzas a aportar el saldo remanente de los ingresos excedentes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propios de la Agencia al Fideicomiso, hasta por el límite previsto en el artículo 37, fracción III, de la Ley;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XXXI. </w:t>
      </w:r>
      <w:r w:rsidRPr="00212F4F">
        <w:rPr>
          <w:rFonts w:ascii="Arial" w:hAnsi="Arial" w:cs="Arial"/>
          <w:color w:val="2F2F2F"/>
          <w:szCs w:val="17"/>
        </w:rPr>
        <w:t>Proponer al Titular de la Secretaría el Manual de Organización de la Agencia para su integración al Manual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General de Organización de la Secretaría;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XXXII. </w:t>
      </w:r>
      <w:r w:rsidRPr="00212F4F">
        <w:rPr>
          <w:rFonts w:ascii="Arial" w:hAnsi="Arial" w:cs="Arial"/>
          <w:color w:val="2F2F2F"/>
          <w:szCs w:val="17"/>
        </w:rPr>
        <w:t>Participar en las negociaciones de tratados y acuerdos internacionales que lleven a cabo las dependencias del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Ejecutivo Federal en las materias de seguridad industrial, seguridad operativa y protección al medio ambiente que tengan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vinculación con el Sector;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lastRenderedPageBreak/>
        <w:t xml:space="preserve">XXXIII. </w:t>
      </w:r>
      <w:r w:rsidRPr="00212F4F">
        <w:rPr>
          <w:rFonts w:ascii="Arial" w:hAnsi="Arial" w:cs="Arial"/>
          <w:color w:val="2F2F2F"/>
          <w:szCs w:val="17"/>
        </w:rPr>
        <w:t>Participar en el Consejo de Coordinación del Sector Energético;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XXXIV. </w:t>
      </w:r>
      <w:r w:rsidRPr="00212F4F">
        <w:rPr>
          <w:rFonts w:ascii="Arial" w:hAnsi="Arial" w:cs="Arial"/>
          <w:color w:val="2F2F2F"/>
          <w:szCs w:val="17"/>
        </w:rPr>
        <w:t>Suscribir los acuerdos interinstitucionales de carácter internacional en la materia de su competencia, previo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dictamen de la Secretaría de Relaciones Exteriores y en los términos de la Ley sobre la Celebración de Tratados;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XXXV. </w:t>
      </w:r>
      <w:r w:rsidRPr="00212F4F">
        <w:rPr>
          <w:rFonts w:ascii="Arial" w:hAnsi="Arial" w:cs="Arial"/>
          <w:color w:val="2F2F2F"/>
          <w:szCs w:val="17"/>
        </w:rPr>
        <w:t>Delegar la representación legal de la Agencia y sus facultades en favor de los servidores públicos de su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adscripción, mediante acuerdo delegatorio que deberá publicarse en el Diario Oficial de la Federación, con excepción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aquéllas que la Ley expresamente le señale como indelegables;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XXXVI. </w:t>
      </w:r>
      <w:r w:rsidRPr="00212F4F">
        <w:rPr>
          <w:rFonts w:ascii="Arial" w:hAnsi="Arial" w:cs="Arial"/>
          <w:color w:val="2F2F2F"/>
          <w:szCs w:val="17"/>
        </w:rPr>
        <w:t>Constituir los consejos, comités, grupos de trabajo o cualquier cuerpo colegiado que corresponda conforme a las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disposiciones jurídicas para el desempeño de las funciones de la Agencia; presidirlos o, en su caso, designar al servidor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público que los presidirá;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XXXVII. </w:t>
      </w:r>
      <w:r w:rsidRPr="00212F4F">
        <w:rPr>
          <w:rFonts w:ascii="Arial" w:hAnsi="Arial" w:cs="Arial"/>
          <w:color w:val="2F2F2F"/>
          <w:szCs w:val="17"/>
        </w:rPr>
        <w:t>Designar a su suplente ante los órganos colegiados en los que, conforme a las disposiciones jurídicas aplicables,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la Agencia tenga intervención;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XXXVIII. </w:t>
      </w:r>
      <w:r w:rsidRPr="00212F4F">
        <w:rPr>
          <w:rFonts w:ascii="Arial" w:hAnsi="Arial" w:cs="Arial"/>
          <w:color w:val="2F2F2F"/>
          <w:szCs w:val="17"/>
        </w:rPr>
        <w:t>Presidir el Comité Consultivo Nacional de Normalización de Protección al Ambiente del Sector y designar al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servidor público que presidirá, en su representación, los comités técnicos de normalización en las materias competencia de la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XXXIX. </w:t>
      </w:r>
      <w:r w:rsidRPr="00212F4F">
        <w:rPr>
          <w:rFonts w:ascii="Arial" w:hAnsi="Arial" w:cs="Arial"/>
          <w:color w:val="2F2F2F"/>
          <w:szCs w:val="17"/>
        </w:rPr>
        <w:t>Establecer los lineamientos y mecanismos de coordinación para la organización, planeación, gestión,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normatividad y operación regional de la Agencia en el territorio nacional y, en su caso, establecer representaciones, fijas o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itinerantes, locales o regionales, mediante disposiciones de carácter general publicadas en el Diario Oficial de la Federación;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XL. </w:t>
      </w:r>
      <w:r w:rsidRPr="00212F4F">
        <w:rPr>
          <w:rFonts w:ascii="Arial" w:hAnsi="Arial" w:cs="Arial"/>
          <w:color w:val="2F2F2F"/>
          <w:szCs w:val="17"/>
        </w:rPr>
        <w:t>Resolver los recursos administrativos que conforme a las disposiciones legales y reglamentarias se promuevan contra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actos propios o de las unidades administrativas que estén adscritas;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XLI. </w:t>
      </w:r>
      <w:r w:rsidRPr="00212F4F">
        <w:rPr>
          <w:rFonts w:ascii="Arial" w:hAnsi="Arial" w:cs="Arial"/>
          <w:color w:val="2F2F2F"/>
          <w:szCs w:val="17"/>
        </w:rPr>
        <w:t>Emitir el acuerdo administrativo interno con los lineamientos para el desarrollo de las audiencias previstas en el artículo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29 de la Ley;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XLII. </w:t>
      </w:r>
      <w:r w:rsidRPr="00212F4F">
        <w:rPr>
          <w:rFonts w:ascii="Arial" w:hAnsi="Arial" w:cs="Arial"/>
          <w:color w:val="2F2F2F"/>
          <w:szCs w:val="17"/>
        </w:rPr>
        <w:t>Proponer al Consejo Técnico el Código de Conducta al que se sujetarán los servidores públicos de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XLIII. </w:t>
      </w:r>
      <w:r w:rsidRPr="00212F4F">
        <w:rPr>
          <w:rFonts w:ascii="Arial" w:hAnsi="Arial" w:cs="Arial"/>
          <w:color w:val="2F2F2F"/>
          <w:szCs w:val="17"/>
        </w:rPr>
        <w:t>Emitir las reglas de carácter general para autorizar y acreditar a personas físicas y morales para que lleven 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cabo las actividades de supervisión, inspección, vigilancia, evaluación e investigación técnica;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XLIV. </w:t>
      </w:r>
      <w:r w:rsidRPr="00212F4F">
        <w:rPr>
          <w:rFonts w:ascii="Arial" w:hAnsi="Arial" w:cs="Arial"/>
          <w:color w:val="2F2F2F"/>
          <w:szCs w:val="17"/>
        </w:rPr>
        <w:t>Emitir o reconocer normas y procedimientos de auditoría que deberán observar los auditores externos al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dictaminar o emitir opiniones relativas a las actividades de los Regulados;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>XLV.</w:t>
      </w:r>
      <w:r w:rsidR="001A53C3">
        <w:rPr>
          <w:rFonts w:ascii="Arial" w:hAnsi="Arial" w:cs="Arial"/>
          <w:b/>
          <w:bCs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Determinar los lineamientos y criterios de actuación, organización y operación interna que correspondan para la ejecución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de los actos administrativos competencia de la Agencia;</w:t>
      </w:r>
    </w:p>
    <w:p w:rsidR="007205F0" w:rsidRPr="00212F4F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XLVI. </w:t>
      </w:r>
      <w:r w:rsidRPr="00212F4F">
        <w:rPr>
          <w:rFonts w:ascii="Arial" w:hAnsi="Arial" w:cs="Arial"/>
          <w:color w:val="2F2F2F"/>
          <w:szCs w:val="17"/>
        </w:rPr>
        <w:t>Autorizar que los Jefes de Unidad atraigan para su resolución los asuntos o procedimientos administrativos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relativos al ejercicio de los actos de autoridad que competen a las Direcciones Generales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que tienen bajo su adscripción, cuando el asunto así lo amerite por sus características especiales, interés o trascendencia,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actuando, en todo caso, con arreglo a los principios de economía, celeridad, eficacia, legalidad, publicidad y buena fe, y</w:t>
      </w:r>
    </w:p>
    <w:p w:rsidR="007205F0" w:rsidRDefault="007205F0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  <w:r w:rsidRPr="00212F4F">
        <w:rPr>
          <w:rFonts w:ascii="Arial" w:hAnsi="Arial" w:cs="Arial"/>
          <w:b/>
          <w:bCs/>
          <w:color w:val="2F2F2F"/>
          <w:szCs w:val="17"/>
        </w:rPr>
        <w:t xml:space="preserve">XLVII. </w:t>
      </w:r>
      <w:r w:rsidRPr="00212F4F">
        <w:rPr>
          <w:rFonts w:ascii="Arial" w:hAnsi="Arial" w:cs="Arial"/>
          <w:color w:val="2F2F2F"/>
          <w:szCs w:val="17"/>
        </w:rPr>
        <w:t>Las demás que sean necesarias para el cumplimiento de sus atribuciones y las que les señalen otras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disposiciones jurídicas.</w:t>
      </w:r>
    </w:p>
    <w:p w:rsidR="00F40F86" w:rsidRPr="00212F4F" w:rsidRDefault="00F40F86" w:rsidP="00212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Cs w:val="17"/>
        </w:rPr>
      </w:pPr>
    </w:p>
    <w:p w:rsidR="00737522" w:rsidRPr="00212F4F" w:rsidRDefault="007205F0" w:rsidP="00F4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</w:rPr>
      </w:pPr>
      <w:r w:rsidRPr="00212F4F">
        <w:rPr>
          <w:rFonts w:ascii="Arial" w:hAnsi="Arial" w:cs="Arial"/>
          <w:color w:val="2F2F2F"/>
          <w:szCs w:val="17"/>
        </w:rPr>
        <w:t>El Director Ejecutivo tendrá bajo su adscripción a la Unidad de Planeación, Vinculación Estratégica y Procesos; a la Unidad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Normatividad y Regulación; a la Unidad de Gestión Industrial; a la Unidad de Supervisión, Inspección y Vigilancia Industrial; a la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Unidad de Gestión, Supervisión, Inspección y Vigilancia Comercial; a la Unidad de Asuntos Jurídicos; a la Unidad de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r w:rsidRPr="00212F4F">
        <w:rPr>
          <w:rFonts w:ascii="Arial" w:hAnsi="Arial" w:cs="Arial"/>
          <w:color w:val="2F2F2F"/>
          <w:szCs w:val="17"/>
        </w:rPr>
        <w:t>Administración y Finanzas; a la Dirección General de Comunicación Social, y a la Dirección General de Cooperación</w:t>
      </w:r>
      <w:r w:rsidR="00F40F86">
        <w:rPr>
          <w:rFonts w:ascii="Arial" w:hAnsi="Arial" w:cs="Arial"/>
          <w:color w:val="2F2F2F"/>
          <w:szCs w:val="17"/>
        </w:rPr>
        <w:t xml:space="preserve"> </w:t>
      </w:r>
      <w:bookmarkStart w:id="0" w:name="_GoBack"/>
      <w:bookmarkEnd w:id="0"/>
      <w:r w:rsidRPr="00212F4F">
        <w:rPr>
          <w:rFonts w:ascii="Arial" w:hAnsi="Arial" w:cs="Arial"/>
          <w:color w:val="2F2F2F"/>
          <w:szCs w:val="17"/>
        </w:rPr>
        <w:t>Internacional.</w:t>
      </w:r>
    </w:p>
    <w:sectPr w:rsidR="00737522" w:rsidRPr="00212F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F0"/>
    <w:rsid w:val="001A53C3"/>
    <w:rsid w:val="00212F4F"/>
    <w:rsid w:val="00431CD6"/>
    <w:rsid w:val="007205F0"/>
    <w:rsid w:val="00737522"/>
    <w:rsid w:val="00F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F944"/>
  <w15:chartTrackingRefBased/>
  <w15:docId w15:val="{EE6D839F-FA00-4E88-BEBB-74196737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1695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4</cp:revision>
  <dcterms:created xsi:type="dcterms:W3CDTF">2018-05-18T14:48:00Z</dcterms:created>
  <dcterms:modified xsi:type="dcterms:W3CDTF">2018-05-18T16:39:00Z</dcterms:modified>
</cp:coreProperties>
</file>