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27" w:rsidRPr="007205F0" w:rsidRDefault="00326B27" w:rsidP="00326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326B27" w:rsidRDefault="00326B27" w:rsidP="00326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326B27" w:rsidRDefault="00326B27" w:rsidP="00326B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326B27" w:rsidRPr="007205F0" w:rsidRDefault="00326B27" w:rsidP="00326B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ARTÍCULO 15. </w:t>
      </w:r>
      <w:r w:rsidRPr="00326B27">
        <w:rPr>
          <w:rFonts w:ascii="Arial" w:hAnsi="Arial" w:cs="Arial"/>
          <w:color w:val="2F2F2F"/>
        </w:rPr>
        <w:t>La Unidad de Asuntos Jurídicos tendrá las siguientes atribuciones en el ámbito de competencia de la Agencia: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bookmarkStart w:id="0" w:name="_GoBack"/>
      <w:bookmarkEnd w:id="0"/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I. </w:t>
      </w:r>
      <w:r w:rsidRPr="00326B27">
        <w:rPr>
          <w:rFonts w:ascii="Arial" w:hAnsi="Arial" w:cs="Arial"/>
          <w:color w:val="2F2F2F"/>
        </w:rPr>
        <w:t xml:space="preserve">Representar legalmente a la Agencia y a sus unidades </w:t>
      </w:r>
      <w:r w:rsidRPr="00326B27">
        <w:rPr>
          <w:rFonts w:ascii="Arial" w:hAnsi="Arial" w:cs="Arial"/>
          <w:color w:val="2F2F2F"/>
        </w:rPr>
        <w:t>administrativas,</w:t>
      </w:r>
      <w:r w:rsidRPr="00326B27">
        <w:rPr>
          <w:rFonts w:ascii="Arial" w:hAnsi="Arial" w:cs="Arial"/>
          <w:color w:val="2F2F2F"/>
        </w:rPr>
        <w:t xml:space="preserve"> así como a los servidores públicos de dichas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unidades, en los procedimientos judiciales y administrativos en que se requiera su intervención y ejercitar todas las acciones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jurídicas inherentes;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II. </w:t>
      </w:r>
      <w:r w:rsidRPr="00326B27">
        <w:rPr>
          <w:rFonts w:ascii="Arial" w:hAnsi="Arial" w:cs="Arial"/>
          <w:color w:val="2F2F2F"/>
        </w:rPr>
        <w:t>Designar, en los casos previstos en la fracción anterior, a los servidores públicos de la Agencia como delegados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autorizados, para que presente promociones, concurran a las audiencias, rindan pruebas, formulen alegatos y promuevan los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incidentes y recursos, de conformidad con las disposiciones jurídicas aplicables y dirigirlos en los juicios o procedimientos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conforme a las disposiciones jurídicas aplicables, así como realizar las actuaciones que resulten necesarias para la tramitación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de juicios en línea;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III. </w:t>
      </w:r>
      <w:r w:rsidRPr="00326B27">
        <w:rPr>
          <w:rFonts w:ascii="Arial" w:hAnsi="Arial" w:cs="Arial"/>
          <w:color w:val="2F2F2F"/>
        </w:rPr>
        <w:t>Representar al Director Ejecutivo, en todos los trámites dentro de los juicios de amparo en los términos del artículo 9 de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la Ley de Amparo, Reglamentaria de los Artículos 103 y 107 de la Constitución Política de los Estados Unidos Mexicanos,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pudiendo acreditar delegados conforme a dicho precepto;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IV. </w:t>
      </w:r>
      <w:r w:rsidRPr="00326B27">
        <w:rPr>
          <w:rFonts w:ascii="Arial" w:hAnsi="Arial" w:cs="Arial"/>
          <w:color w:val="2F2F2F"/>
        </w:rPr>
        <w:t>Representar a la Agencia en los asuntos laborales que se substancien ante el Tribunal Federal de Conciliación y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Arbitraje, y en las Juntas Locales y Federales de Conciliación y Arbitraje o tribunales laborales equivalentes de las entidades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federativas y del Distrito Federal, cuando se trate de servidores públicos adscritos a la Agencia, formular dictámenes de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demandas de cese de la relación laboral, presentar y contestar las demandas correspondientes, formular y absolver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posiciones, formular desistimientos o allanamientos y, en general, realizar toda clase de promociones que se requieran en el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curso del procedimiento;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V. </w:t>
      </w:r>
      <w:r w:rsidRPr="00326B27">
        <w:rPr>
          <w:rFonts w:ascii="Arial" w:hAnsi="Arial" w:cs="Arial"/>
          <w:color w:val="2F2F2F"/>
        </w:rPr>
        <w:t>Otorgar el perdón en materia penal ante las autoridades ministeriales o judiciales en los procedimientos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correspondientes;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VI. </w:t>
      </w:r>
      <w:r w:rsidRPr="00326B27">
        <w:rPr>
          <w:rFonts w:ascii="Arial" w:hAnsi="Arial" w:cs="Arial"/>
          <w:color w:val="2F2F2F"/>
        </w:rPr>
        <w:t>Resolver sobre las solicitudes de conmutación de multas en los términos previstos en las disposiciones jurídicas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aplicables;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VII. </w:t>
      </w:r>
      <w:r w:rsidRPr="00326B27">
        <w:rPr>
          <w:rFonts w:ascii="Arial" w:hAnsi="Arial" w:cs="Arial"/>
          <w:color w:val="2F2F2F"/>
        </w:rPr>
        <w:t>Dictaminar los actos de naturaleza jurídica que en uso de sus facultades indelegables deba emitir el Director Ejecutivo;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VIII. </w:t>
      </w:r>
      <w:r w:rsidRPr="00326B27">
        <w:rPr>
          <w:rFonts w:ascii="Arial" w:hAnsi="Arial" w:cs="Arial"/>
          <w:color w:val="2F2F2F"/>
        </w:rPr>
        <w:t>Resolver sobre la interpretación o aplicación de este Reglamento y sobre los casos no previstos en él, así como aprobar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los criterios internos de interpretación y aplicación de las leyes y otras disposiciones jurídicas que normen el funcionamiento y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actividades de la Agencia;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IX. </w:t>
      </w:r>
      <w:r w:rsidRPr="00326B27">
        <w:rPr>
          <w:rFonts w:ascii="Arial" w:hAnsi="Arial" w:cs="Arial"/>
          <w:color w:val="2F2F2F"/>
        </w:rPr>
        <w:t>Suscribir todo tipo de convenios ante autoridades administrativas, judiciales y jurisdiccionales para poner fin a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procedimientos o juicios en los que la Agencia sea parte, para lo cual deberá contar con la autorización expresa de los titulares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de las unidades administrativas de la Agencia competentes en el tema o materia que haya sido objeto del procedimiento o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juicio y a cuyo presupuesto corresponda el ingreso o erogación que resulte de la suscripción de dichos convenios;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X. </w:t>
      </w:r>
      <w:r w:rsidRPr="00326B27">
        <w:rPr>
          <w:rFonts w:ascii="Arial" w:hAnsi="Arial" w:cs="Arial"/>
          <w:color w:val="2F2F2F"/>
        </w:rPr>
        <w:t>Revisar y, en su caso, formular los proyectos de iniciativas de leyes, reglamentos, decretos, acuerdos y otras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disposiciones jurídicas competencia de la Agencia, a efecto de someterlos a la consideración del Director Ejecutivo, previo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dictamen de procedencia;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t xml:space="preserve">XI. </w:t>
      </w:r>
      <w:r w:rsidRPr="00326B27">
        <w:rPr>
          <w:rFonts w:ascii="Arial" w:hAnsi="Arial" w:cs="Arial"/>
          <w:color w:val="2F2F2F"/>
        </w:rPr>
        <w:t>Coordinar el Comité de Información en materia de transparencia y acceso a la información pública gubernamental, que se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constituya en la Agencia, en los términos de la legislación aplicable, y</w:t>
      </w:r>
    </w:p>
    <w:p w:rsid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326B27">
        <w:rPr>
          <w:rFonts w:ascii="Arial" w:hAnsi="Arial" w:cs="Arial"/>
          <w:b/>
          <w:bCs/>
          <w:color w:val="2F2F2F"/>
        </w:rPr>
        <w:lastRenderedPageBreak/>
        <w:t xml:space="preserve">XII. </w:t>
      </w:r>
      <w:r w:rsidRPr="00326B27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jurídicas y las que le encomiende el Director Ejecutivo.</w:t>
      </w:r>
    </w:p>
    <w:p w:rsidR="00326B27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737522" w:rsidRPr="00326B27" w:rsidRDefault="00326B27" w:rsidP="00326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6B27">
        <w:rPr>
          <w:rFonts w:ascii="Arial" w:hAnsi="Arial" w:cs="Arial"/>
          <w:color w:val="2F2F2F"/>
        </w:rPr>
        <w:t>La Unidad de Asuntos Jurídicos tendrá adscritas a la Dirección General de lo Contencioso y a la Dirección General de lo</w:t>
      </w:r>
      <w:r>
        <w:rPr>
          <w:rFonts w:ascii="Arial" w:hAnsi="Arial" w:cs="Arial"/>
          <w:color w:val="2F2F2F"/>
        </w:rPr>
        <w:t xml:space="preserve"> </w:t>
      </w:r>
      <w:r w:rsidRPr="00326B27">
        <w:rPr>
          <w:rFonts w:ascii="Arial" w:hAnsi="Arial" w:cs="Arial"/>
          <w:color w:val="2F2F2F"/>
        </w:rPr>
        <w:t>Consultivo.</w:t>
      </w:r>
    </w:p>
    <w:sectPr w:rsidR="00737522" w:rsidRPr="00326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7"/>
    <w:rsid w:val="00326B27"/>
    <w:rsid w:val="0073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E3B9"/>
  <w15:chartTrackingRefBased/>
  <w15:docId w15:val="{0F52EA96-126D-4F4E-9A22-BBF2682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2018-05-18T16:45:00Z</dcterms:created>
  <dcterms:modified xsi:type="dcterms:W3CDTF">2018-05-18T16:47:00Z</dcterms:modified>
</cp:coreProperties>
</file>