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21" w:rsidRPr="007205F0" w:rsidRDefault="005A4821" w:rsidP="005A4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5A4821" w:rsidRDefault="005A4821" w:rsidP="005A4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5A4821" w:rsidRDefault="005A4821" w:rsidP="005A48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5A4821" w:rsidRPr="007205F0" w:rsidRDefault="005A4821" w:rsidP="005A48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5A4821" w:rsidRDefault="005A4821" w:rsidP="005A482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F2F2F"/>
          <w:sz w:val="17"/>
          <w:szCs w:val="17"/>
        </w:rPr>
      </w:pPr>
    </w:p>
    <w:p w:rsid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ARTÍCULO 11. </w:t>
      </w:r>
      <w:r w:rsidRPr="005A4821">
        <w:rPr>
          <w:rFonts w:ascii="Arial" w:hAnsi="Arial" w:cs="Arial"/>
          <w:color w:val="2F2F2F"/>
        </w:rPr>
        <w:t>La Unidad de Normatividad y Regulación, tendrá las siguientes atribuciones en relación con las actividades del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Sector: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I. </w:t>
      </w:r>
      <w:r w:rsidRPr="005A4821">
        <w:rPr>
          <w:rFonts w:ascii="Arial" w:hAnsi="Arial" w:cs="Arial"/>
          <w:color w:val="2F2F2F"/>
        </w:rPr>
        <w:t>Preparar el proyecto de reglas de carácter general, en coordinación con las unidades administrativas de la Agencia, para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el requerimiento de garantías o cualquier otro instrumento financiero necesario para que los Regulados cuenten con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coberturas financieras contingentes frente a daños o perjuicios que se pudieran generar, previa opinión favorable de las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secretarías de Energía y de Hacienda y Crédito Público;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II. </w:t>
      </w:r>
      <w:r w:rsidRPr="005A4821">
        <w:rPr>
          <w:rFonts w:ascii="Arial" w:hAnsi="Arial" w:cs="Arial"/>
          <w:color w:val="2F2F2F"/>
        </w:rPr>
        <w:t>Proponer los anteproyectos de normas oficiales mexicanas en materia de protección al medio ambiente para las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actividades del Sector;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III. </w:t>
      </w:r>
      <w:r w:rsidRPr="005A4821">
        <w:rPr>
          <w:rFonts w:ascii="Arial" w:hAnsi="Arial" w:cs="Arial"/>
          <w:color w:val="2F2F2F"/>
        </w:rPr>
        <w:t>Dictaminar la procedencia técnica de las propuestas de anteproyectos de normas oficiales mexicanas que, en términos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de la Ley Federal sobre Metrología y Normalización, se presenten ante la Agencia;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IV. </w:t>
      </w:r>
      <w:r w:rsidRPr="005A4821">
        <w:rPr>
          <w:rFonts w:ascii="Arial" w:hAnsi="Arial" w:cs="Arial"/>
          <w:color w:val="2F2F2F"/>
        </w:rPr>
        <w:t>Proponer al Comité Consultivo Nacional de Normalización correspondiente, los anteproyectos de modificación,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cancelación o ratificación de normas oficiales mexicanas en las materias señaladas en la fracción II de este artículo, así como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la prórroga de normas oficiales de emergencia expedidas en las mismas materias;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V. </w:t>
      </w:r>
      <w:r w:rsidRPr="005A4821">
        <w:rPr>
          <w:rFonts w:ascii="Arial" w:hAnsi="Arial" w:cs="Arial"/>
          <w:color w:val="2F2F2F"/>
        </w:rPr>
        <w:t>Coordinar la integración de la información relativa a las normas oficiales mexicanas del Sector que, en su caso,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corresponda expedir a la Agencia en las materias señaladas en el artículo 6, fracción II de la Ley y que el Director Ejecutivo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remita al Secretario para su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inclusión en el Programa Nacional de Normalización correspondiente o, en sus suplementos;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VI. </w:t>
      </w:r>
      <w:r w:rsidRPr="005A4821">
        <w:rPr>
          <w:rFonts w:ascii="Arial" w:hAnsi="Arial" w:cs="Arial"/>
          <w:color w:val="2F2F2F"/>
        </w:rPr>
        <w:t>Expedir los lineamientos y procedimientos de evaluación de la conformidad de las normas oficiales mexicanas en las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materias de su competencia, de conformidad con la Ley Federal sobre Metrología y Normalización;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VII. </w:t>
      </w:r>
      <w:r w:rsidRPr="005A4821">
        <w:rPr>
          <w:rFonts w:ascii="Arial" w:hAnsi="Arial" w:cs="Arial"/>
          <w:color w:val="2F2F2F"/>
        </w:rPr>
        <w:t>Coordinar la integración y ejecución de los programas de mejora regulatoria a cargo de la Agencia;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VIII. </w:t>
      </w:r>
      <w:r w:rsidRPr="005A4821">
        <w:rPr>
          <w:rFonts w:ascii="Arial" w:hAnsi="Arial" w:cs="Arial"/>
          <w:color w:val="2F2F2F"/>
        </w:rPr>
        <w:t>Autorizar las manifestaciones de impacto regulatorio de los actos administrativos de carácter general de su competencia;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IX. </w:t>
      </w:r>
      <w:r w:rsidRPr="005A4821">
        <w:rPr>
          <w:rFonts w:ascii="Arial" w:hAnsi="Arial" w:cs="Arial"/>
          <w:color w:val="2F2F2F"/>
        </w:rPr>
        <w:t>Inscribir en el Registro Federal de Trámites y Servicios los relativos a las materias de seguridad industrial y seguridad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operativa del Sector e incorporar las modalidades que se requieran en los trámites y servicios que en materia ambiental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corresponda aplicar a la Agencia;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X. </w:t>
      </w:r>
      <w:r w:rsidRPr="005A4821">
        <w:rPr>
          <w:rFonts w:ascii="Arial" w:hAnsi="Arial" w:cs="Arial"/>
          <w:color w:val="2F2F2F"/>
        </w:rPr>
        <w:t>Proponer al Director Ejecutivo los proyectos de reglas de carácter general en materia de seguridad industrial y seguridad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operativa previstas en la Ley;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000000"/>
        </w:rPr>
        <w:t xml:space="preserve">XI. </w:t>
      </w:r>
      <w:r w:rsidRPr="005A4821">
        <w:rPr>
          <w:rFonts w:ascii="Arial" w:hAnsi="Arial" w:cs="Arial"/>
          <w:color w:val="000000"/>
        </w:rPr>
        <w:t>Diseñar y proponer al Director Ejecutivo los lineamientos para la conformación y operación de los Sistemas de</w:t>
      </w:r>
      <w:r>
        <w:rPr>
          <w:rFonts w:ascii="Arial" w:hAnsi="Arial" w:cs="Arial"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 xml:space="preserve">Administración con que deberán </w:t>
      </w:r>
      <w:r w:rsidRPr="005A4821">
        <w:rPr>
          <w:rFonts w:ascii="Arial" w:hAnsi="Arial" w:cs="Arial"/>
          <w:color w:val="2F2F2F"/>
        </w:rPr>
        <w:t xml:space="preserve">contar </w:t>
      </w:r>
      <w:r w:rsidRPr="005A4821">
        <w:rPr>
          <w:rFonts w:ascii="Arial" w:hAnsi="Arial" w:cs="Arial"/>
          <w:color w:val="000000"/>
        </w:rPr>
        <w:t>los Regulados, así como las reglas de carácter general para la implementación de</w:t>
      </w:r>
      <w:r>
        <w:rPr>
          <w:rFonts w:ascii="Arial" w:hAnsi="Arial" w:cs="Arial"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>dichos sistemas, incluyendo aquéllas que regulen a las áreas responsables de la evaluación, implementación y mejora del</w:t>
      </w:r>
      <w:r>
        <w:rPr>
          <w:rFonts w:ascii="Arial" w:hAnsi="Arial" w:cs="Arial"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>sistema a que se refiere el artículo 16 de la Ley</w:t>
      </w:r>
      <w:r w:rsidRPr="005A4821">
        <w:rPr>
          <w:rFonts w:ascii="Arial" w:hAnsi="Arial" w:cs="Arial"/>
          <w:color w:val="2F2F2F"/>
        </w:rPr>
        <w:t>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XII. </w:t>
      </w:r>
      <w:r w:rsidRPr="005A4821">
        <w:rPr>
          <w:rFonts w:ascii="Arial" w:hAnsi="Arial" w:cs="Arial"/>
          <w:color w:val="2F2F2F"/>
        </w:rPr>
        <w:t>Proponer al Director Ejecutivo los proyectos de bases y criterios para que los Regulados adopten las mejores prácticas de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seguridad industrial, seguridad operativa y protección al medio ambiente que resulten aplicables a las actividades del Sector;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XIII. </w:t>
      </w:r>
      <w:r w:rsidRPr="005A4821">
        <w:rPr>
          <w:rFonts w:ascii="Arial" w:hAnsi="Arial" w:cs="Arial"/>
          <w:color w:val="2F2F2F"/>
        </w:rPr>
        <w:t>Proponer al Director Ejecutivo las reglas de carácter general en materia de seguridad industrial y seguridad operativa,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para el diseño y construcción, operación y mantenimiento de instalaciones destinadas al expendio al público de petrolíferos y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 xml:space="preserve">de equipos e infraestructura para realizar las actividades de transporte, almacenamiento y distribución de </w:t>
      </w:r>
      <w:r w:rsidRPr="005A4821">
        <w:rPr>
          <w:rFonts w:ascii="Arial" w:hAnsi="Arial" w:cs="Arial"/>
          <w:color w:val="2F2F2F"/>
        </w:rPr>
        <w:lastRenderedPageBreak/>
        <w:t>petrolíferos, así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como las normas oficiales mexicanas que correspondan en materia de protección al medio ambiente;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XIV. </w:t>
      </w:r>
      <w:r w:rsidRPr="005A4821">
        <w:rPr>
          <w:rFonts w:ascii="Arial" w:hAnsi="Arial" w:cs="Arial"/>
          <w:color w:val="2F2F2F"/>
        </w:rPr>
        <w:t>Proponer al Director Ejecutivo las reglas de carácter general en materia de seguridad industrial y seguridad operativa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para la realización de las actividades de captura, exploración, extracción, transporte e inyección industrial de bióxido de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 xml:space="preserve">carbono, que se realizan con el fin de mejorar la producción de hidrocarburos, así como las normas </w:t>
      </w:r>
      <w:r>
        <w:rPr>
          <w:rFonts w:ascii="Arial" w:hAnsi="Arial" w:cs="Arial"/>
          <w:color w:val="2F2F2F"/>
        </w:rPr>
        <w:t>o</w:t>
      </w:r>
      <w:r w:rsidRPr="005A4821">
        <w:rPr>
          <w:rFonts w:ascii="Arial" w:hAnsi="Arial" w:cs="Arial"/>
          <w:color w:val="2F2F2F"/>
        </w:rPr>
        <w:t>ficiales mexicanas que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correspondan en materia de protección al medio ambiente;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XV. </w:t>
      </w:r>
      <w:r w:rsidRPr="005A4821">
        <w:rPr>
          <w:rFonts w:ascii="Arial" w:hAnsi="Arial" w:cs="Arial"/>
          <w:color w:val="2F2F2F"/>
        </w:rPr>
        <w:t>Desarrollar y promover, conjuntamente con las autoridades competentes, los instrumentos normativos a que se refiere la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Ley de Bioseguridad de Organismos Genéticamente Modificados y su Reglamento, en materia de organismos genéticamente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color w:val="2F2F2F"/>
        </w:rPr>
        <w:t>modificados para la remediación de sitios en donde se ubiquen instalaciones del Sector o en donde el mismo las realice sus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actividades;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4821">
        <w:rPr>
          <w:rFonts w:ascii="Arial" w:hAnsi="Arial" w:cs="Arial"/>
          <w:b/>
          <w:bCs/>
          <w:color w:val="000000"/>
        </w:rPr>
        <w:t xml:space="preserve">XVI. </w:t>
      </w:r>
      <w:r w:rsidRPr="005A4821">
        <w:rPr>
          <w:rFonts w:ascii="Arial" w:hAnsi="Arial" w:cs="Arial"/>
          <w:color w:val="000000"/>
        </w:rPr>
        <w:t>Diseñar y proponer al Director Ejecutivo los proyectos de criterios y lineamientos que se deberán seguir para la</w:t>
      </w:r>
      <w:r>
        <w:rPr>
          <w:rFonts w:ascii="Arial" w:hAnsi="Arial" w:cs="Arial"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>aprobación de los organismos de certificación, los laboratorios de prueba o de calibración y las unidades de verificación que</w:t>
      </w:r>
      <w:r>
        <w:rPr>
          <w:rFonts w:ascii="Arial" w:hAnsi="Arial" w:cs="Arial"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>actuarán en materia de evaluación de la conformidad de las normas oficiales mexicanas que apliquen al Sector;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4821">
        <w:rPr>
          <w:rFonts w:ascii="Arial" w:hAnsi="Arial" w:cs="Arial"/>
          <w:b/>
          <w:bCs/>
          <w:color w:val="000000"/>
        </w:rPr>
        <w:t>XVII.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 xml:space="preserve">Diseñar y proponer al Director Ejecutivo las medidas técnicas que deben incluirse en los </w:t>
      </w:r>
      <w:r w:rsidRPr="005A4821">
        <w:rPr>
          <w:rFonts w:ascii="Arial" w:hAnsi="Arial" w:cs="Arial"/>
          <w:color w:val="2F2F2F"/>
        </w:rPr>
        <w:t xml:space="preserve">protocolos </w:t>
      </w:r>
      <w:r w:rsidRPr="005A4821">
        <w:rPr>
          <w:rFonts w:ascii="Arial" w:hAnsi="Arial" w:cs="Arial"/>
          <w:color w:val="000000"/>
        </w:rPr>
        <w:t>de actuación para la</w:t>
      </w:r>
      <w:r>
        <w:rPr>
          <w:rFonts w:ascii="Arial" w:hAnsi="Arial" w:cs="Arial"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>atención de emergencias o situaciones de riesgo crítico del Sector o aquéllas que puedan ocasionar un daño grave a las</w:t>
      </w:r>
      <w:r>
        <w:rPr>
          <w:rFonts w:ascii="Arial" w:hAnsi="Arial" w:cs="Arial"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>personas o a los bienes en materia de seguridad industrial, seguridad operativa y protección al medio ambiente;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XVIII. </w:t>
      </w:r>
      <w:r w:rsidRPr="005A4821">
        <w:rPr>
          <w:rFonts w:ascii="Arial" w:hAnsi="Arial" w:cs="Arial"/>
          <w:color w:val="2F2F2F"/>
        </w:rPr>
        <w:t>Emitir los lineamientos y bases para llevar a cabo las investigaciones de causa raíz en caso de incidentes y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accidentes, operativos, industriales y medioambientales que lleve a cabo la Agencia;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XIX. </w:t>
      </w:r>
      <w:r w:rsidRPr="005A4821">
        <w:rPr>
          <w:rFonts w:ascii="Arial" w:hAnsi="Arial" w:cs="Arial"/>
          <w:color w:val="2F2F2F"/>
        </w:rPr>
        <w:t>Proponer al Director Ejecutivo, las reglas de carácter general que establezcan las bases para que los Regulados lleven a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cabo las investigaciones de causa raíz en caso de incidentes y accidentes, operativos, industriales y medioambientales;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4821">
        <w:rPr>
          <w:rFonts w:ascii="Arial" w:hAnsi="Arial" w:cs="Arial"/>
          <w:b/>
          <w:bCs/>
          <w:color w:val="000000"/>
        </w:rPr>
        <w:t xml:space="preserve">XX. </w:t>
      </w:r>
      <w:r w:rsidRPr="005A4821">
        <w:rPr>
          <w:rFonts w:ascii="Arial" w:hAnsi="Arial" w:cs="Arial"/>
          <w:color w:val="000000"/>
        </w:rPr>
        <w:t>Diseñar y proponer al Director Ejecutivo los proyectos de normas y procedimientos de auditoría que deberán observar los</w:t>
      </w:r>
      <w:r>
        <w:rPr>
          <w:rFonts w:ascii="Arial" w:hAnsi="Arial" w:cs="Arial"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 xml:space="preserve">auditores externos al dictaminar o </w:t>
      </w:r>
      <w:r w:rsidRPr="005A4821">
        <w:rPr>
          <w:rFonts w:ascii="Arial" w:hAnsi="Arial" w:cs="Arial"/>
          <w:color w:val="2F2F2F"/>
        </w:rPr>
        <w:t xml:space="preserve">emitir </w:t>
      </w:r>
      <w:r w:rsidRPr="005A4821">
        <w:rPr>
          <w:rFonts w:ascii="Arial" w:hAnsi="Arial" w:cs="Arial"/>
          <w:color w:val="000000"/>
        </w:rPr>
        <w:t>opiniones relativas a las actividades de los Regulados o, en su caso, proponer el</w:t>
      </w:r>
      <w:r>
        <w:rPr>
          <w:rFonts w:ascii="Arial" w:hAnsi="Arial" w:cs="Arial"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>reconocimiento de normas o procedimientos vigentes a nivel internacional;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XXI. </w:t>
      </w:r>
      <w:r w:rsidRPr="005A4821">
        <w:rPr>
          <w:rFonts w:ascii="Arial" w:hAnsi="Arial" w:cs="Arial"/>
          <w:color w:val="2F2F2F"/>
        </w:rPr>
        <w:t>Expedir los criterios, términos de referencia, formatos, manuales y demás instrumentos que conforme a las disposiciones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jurídicas aplicables se requieran para la elaboración y aplicación de los programas de certificación en seguridad industrial,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color w:val="2F2F2F"/>
        </w:rPr>
        <w:t>seguridad operativa y protección al medio ambiente, este último con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base en el principio de autogestión, que establezca la Agencia conforme al artículo 5, fracción XVI de la Ley;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000000"/>
        </w:rPr>
        <w:t>XXII.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>Diseñar y proponer al Director Ejecutivo las reglas de carácter general para autorizar y acreditar a personas físicas o</w:t>
      </w:r>
      <w:r>
        <w:rPr>
          <w:rFonts w:ascii="Arial" w:hAnsi="Arial" w:cs="Arial"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>morales para que lleven a cabo las actividades de supervisión, inspección y verificación, evaluaciones e investigaciones</w:t>
      </w:r>
      <w:r>
        <w:rPr>
          <w:rFonts w:ascii="Arial" w:hAnsi="Arial" w:cs="Arial"/>
          <w:color w:val="000000"/>
        </w:rPr>
        <w:t xml:space="preserve"> </w:t>
      </w:r>
      <w:r w:rsidRPr="005A4821">
        <w:rPr>
          <w:rFonts w:ascii="Arial" w:hAnsi="Arial" w:cs="Arial"/>
          <w:color w:val="000000"/>
        </w:rPr>
        <w:t xml:space="preserve">técnicas, así como de certificación y auditorías referidas en la Ley, </w:t>
      </w:r>
      <w:r w:rsidRPr="005A4821">
        <w:rPr>
          <w:rFonts w:ascii="Arial" w:hAnsi="Arial" w:cs="Arial"/>
          <w:color w:val="2F2F2F"/>
        </w:rPr>
        <w:t>y</w:t>
      </w:r>
    </w:p>
    <w:p w:rsidR="005A4821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5A4821">
        <w:rPr>
          <w:rFonts w:ascii="Arial" w:hAnsi="Arial" w:cs="Arial"/>
          <w:b/>
          <w:bCs/>
          <w:color w:val="2F2F2F"/>
        </w:rPr>
        <w:t xml:space="preserve">XXIII. </w:t>
      </w:r>
      <w:r w:rsidRPr="005A4821">
        <w:rPr>
          <w:rFonts w:ascii="Arial" w:hAnsi="Arial" w:cs="Arial"/>
          <w:color w:val="2F2F2F"/>
        </w:rPr>
        <w:t>Las demás que sean necesarias para el cumplimiento de sus atribuciones, las que le confieran otras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disposiciones jurídicas y las que le encomiende su superior jerárquico.</w:t>
      </w:r>
    </w:p>
    <w:p w:rsidR="00E324EE" w:rsidRDefault="00E324EE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737522" w:rsidRPr="005A4821" w:rsidRDefault="005A4821" w:rsidP="005A48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5A4821">
        <w:rPr>
          <w:rFonts w:ascii="Arial" w:hAnsi="Arial" w:cs="Arial"/>
          <w:color w:val="2F2F2F"/>
        </w:rPr>
        <w:t>La Unidad de Normatividad y Regulación tendrá adscritas a la Dirección General de Regulación, la Dirección General de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Normatividad de Exploración y Extracción y la Dirección General de Normatividad de Procesos Industriales, Transporte y</w:t>
      </w:r>
      <w:r>
        <w:rPr>
          <w:rFonts w:ascii="Arial" w:hAnsi="Arial" w:cs="Arial"/>
          <w:color w:val="2F2F2F"/>
        </w:rPr>
        <w:t xml:space="preserve"> </w:t>
      </w:r>
      <w:r w:rsidRPr="005A4821">
        <w:rPr>
          <w:rFonts w:ascii="Arial" w:hAnsi="Arial" w:cs="Arial"/>
          <w:color w:val="2F2F2F"/>
        </w:rPr>
        <w:t>Almacenamiento.</w:t>
      </w:r>
    </w:p>
    <w:sectPr w:rsidR="00737522" w:rsidRPr="005A48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21"/>
    <w:rsid w:val="005A4821"/>
    <w:rsid w:val="00737522"/>
    <w:rsid w:val="00E3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F8EF"/>
  <w15:chartTrackingRefBased/>
  <w15:docId w15:val="{9880D610-F9D9-4718-A15A-DD2D6173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2</cp:revision>
  <dcterms:created xsi:type="dcterms:W3CDTF">2018-05-18T16:26:00Z</dcterms:created>
  <dcterms:modified xsi:type="dcterms:W3CDTF">2018-05-18T16:40:00Z</dcterms:modified>
</cp:coreProperties>
</file>